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C98DEB7">
      <w:pPr>
        <w:pStyle w:val="Title"/>
      </w:pPr>
      <w:r>
        <w:rPr>
          <w:rFonts w:ascii="Aptos" w:hAnsi="Aptos" w:cs="Aptos" w:eastAsia="Aptos"/>
          <w:color w:val="000000"/>
          <w:sz w:val="22"/>
          <w:szCs w:val="22"/>
        </w:rPr>
        <w:t>PLEIS DATA PROCESSING AGREEMENT (DPA)</w:t>
      </w:r>
    </w:p>
    <w:p w14:paraId="29753999">
      <w:pPr>
        <w:pStyle w:val="Normal"/>
      </w:pPr>
      <w:r>
        <w:rPr>
          <w:rFonts w:ascii="Aptos" w:hAnsi="Aptos" w:cs="Aptos" w:eastAsia="Aptos"/>
          <w:color w:val="000000"/>
          <w:sz w:val="22"/>
          <w:szCs w:val="22"/>
        </w:rPr>
        <w:t>This Data Processing Agreement ("DPA") forms Annex 3 to the Partner Service Agreement concluded between UTOPIA TECHNOLOGIES d.o.o. and the Partner (the "Partner Service Agreement") and is an integral part thereof.</w:t>
      </w:r>
    </w:p>
    <w:p w14:paraId="1DBEAE7A">
      <w:pPr>
        <w:pStyle w:val="Normal"/>
      </w:pPr>
      <w:r>
        <w:rPr>
          <w:rFonts w:ascii="Aptos" w:hAnsi="Aptos" w:cs="Aptos" w:eastAsia="Aptos"/>
          <w:color w:val="000000"/>
          <w:sz w:val="22"/>
          <w:szCs w:val="22"/>
        </w:rPr>
        <w:t>UTOPIA TECHNOLOGIES d.o.o., a limited liability company incorporated under the laws of the Republic of Croatia, with its registered office at Trg Kardinala Alojzije Stepinca 9, Jastrebarsko, Croatia, MBS: 081548831, OIB: 34839111725 ("UTOPIA TECHNOLOGIES");</w:t>
      </w:r>
    </w:p>
    <w:p w14:paraId="1208235B">
      <w:pPr>
        <w:pStyle w:val="Normal"/>
      </w:pPr>
      <w:r>
        <w:rPr>
          <w:rFonts w:ascii="Aptos" w:hAnsi="Aptos" w:cs="Aptos" w:eastAsia="Aptos"/>
          <w:color w:val="000000"/>
          <w:sz w:val="22"/>
          <w:szCs w:val="22"/>
        </w:rPr>
        <w:t>and</w:t>
      </w:r>
    </w:p>
    <w:p w14:paraId="0651983C">
      <w:pPr>
        <w:pStyle w:val="Normal"/>
      </w:pPr>
      <w:r>
        <w:rPr>
          <w:rFonts w:ascii="Aptos" w:hAnsi="Aptos" w:cs="Aptos" w:eastAsia="Aptos"/>
          <w:color w:val="000000"/>
          <w:sz w:val="22"/>
          <w:szCs w:val="22"/>
        </w:rPr>
        <w:t>[PARTNER LEGAL NAME], with its registered office at [address], OIB / tax identification number: [●] ("Partner");</w:t>
      </w:r>
    </w:p>
    <w:p w14:paraId="7A9B0D1D">
      <w:pPr>
        <w:pStyle w:val="Normal"/>
      </w:pPr>
      <w:r>
        <w:rPr>
          <w:rFonts w:ascii="Aptos" w:hAnsi="Aptos" w:cs="Aptos" w:eastAsia="Aptos"/>
          <w:color w:val="000000"/>
          <w:sz w:val="22"/>
          <w:szCs w:val="22"/>
        </w:rPr>
        <w:t>are hereinafter referred to individually as a "Party" and collectively as the "Parties".</w:t>
      </w:r>
    </w:p>
    <w:p w14:paraId="6EE481FE">
      <w:pPr>
        <w:pStyle w:val="Normal"/>
      </w:pPr>
      <w:r>
        <w:rPr>
          <w:rFonts w:ascii="Aptos" w:hAnsi="Aptos" w:cs="Aptos" w:eastAsia="Aptos"/>
          <w:color w:val="000000"/>
          <w:sz w:val="22"/>
          <w:szCs w:val="22"/>
        </w:rPr>
        <w:t>This DPA is entered into in accordance with Article 28 of Regulation (EU) 2016/679 (General Data Protection Regulation, "GDPR") and governs the processing of personal data by UTOPIA TECHNOLOGIES in its capacity as data processor on behalf of the Partner as data controller, in connection with the provision of the Intermediary Services through the PLEIS Platform.</w:t>
      </w:r>
    </w:p>
    <w:p w14:paraId="27495156">
      <w:pPr>
        <w:pStyle w:val="Normal"/>
        <w:numPr>
          <w:ilvl w:val="0"/>
          <w:numId w:val="10"/>
        </w:numPr>
      </w:pPr>
      <w:r>
        <w:rPr>
          <w:b/>
          <w:rFonts w:ascii="Aptos" w:hAnsi="Aptos" w:cs="Aptos" w:eastAsia="Aptos"/>
          <w:color w:val="000000"/>
          <w:sz w:val="22"/>
          <w:szCs w:val="22"/>
        </w:rPr>
        <w:t>DEFINITIONS</w:t>
      </w:r>
    </w:p>
    <w:p w14:paraId="15741808">
      <w:pPr>
        <w:pStyle w:val="Normal"/>
        <w:numPr>
          <w:ilvl w:val="1"/>
          <w:numId w:val="10"/>
        </w:numPr>
      </w:pPr>
      <w:r>
        <w:rPr>
          <w:rFonts w:ascii="Aptos" w:hAnsi="Aptos" w:cs="Aptos" w:eastAsia="Aptos"/>
          <w:color w:val="000000"/>
          <w:sz w:val="22"/>
          <w:szCs w:val="22"/>
        </w:rPr>
        <w:t>For the purposes of this DPA, the terms "personal data", "data controller", "data processor", "sub-processor", "processing", "data subject", "personal data breach", and "supervisory authority" shall have the meanings assigned to them under the GDPR.</w:t>
      </w:r>
    </w:p>
    <w:p w14:paraId="27FD0DB8">
      <w:pPr>
        <w:pStyle w:val="Normal"/>
        <w:numPr>
          <w:ilvl w:val="1"/>
          <w:numId w:val="10"/>
        </w:numPr>
      </w:pPr>
      <w:r>
        <w:rPr>
          <w:rFonts w:ascii="Aptos" w:hAnsi="Aptos" w:cs="Aptos" w:eastAsia="Aptos"/>
          <w:color w:val="000000"/>
          <w:sz w:val="22"/>
          <w:szCs w:val="22"/>
        </w:rPr>
        <w:t>"Platform Services" means the Intermediary Services provided by UTOPIA TECHNOLOGIES to the Partner under the Partner Service Agreement and the Partner Terms, in the course of which UTOPIA TECHNOLOGIES processes personal data on behalf of the Partner.</w:t>
      </w:r>
    </w:p>
    <w:p w14:paraId="3760CCD7">
      <w:pPr>
        <w:pStyle w:val="Normal"/>
        <w:numPr>
          <w:ilvl w:val="1"/>
          <w:numId w:val="10"/>
        </w:numPr>
      </w:pPr>
      <w:r>
        <w:rPr>
          <w:rFonts w:ascii="Aptos" w:hAnsi="Aptos" w:cs="Aptos" w:eastAsia="Aptos"/>
          <w:color w:val="000000"/>
          <w:sz w:val="22"/>
          <w:szCs w:val="22"/>
        </w:rPr>
        <w:t>"Partner Personal Data" means any personal data processed by UTOPIA TECHNOLOGIES as data processor in the course of providing the Platform Services to the Partner, as further described in Annex A to this DPA.</w:t>
      </w:r>
    </w:p>
    <w:p w14:paraId="68571CC1">
      <w:pPr>
        <w:pStyle w:val="Normal"/>
        <w:numPr>
          <w:ilvl w:val="1"/>
          <w:numId w:val="10"/>
        </w:numPr>
      </w:pPr>
      <w:r>
        <w:rPr>
          <w:rFonts w:ascii="Aptos" w:hAnsi="Aptos" w:cs="Aptos" w:eastAsia="Aptos"/>
          <w:color w:val="000000"/>
          <w:sz w:val="22"/>
          <w:szCs w:val="22"/>
        </w:rPr>
        <w:t>"Instructions" means the documented instructions issued by the Partner to UTOPIA TECHNOLOGIES regarding the processing of Partner Personal Data, as set out in this DPA, the Partner Service Agreement, and any subsequent written instructions provided by the Partner.</w:t>
      </w:r>
    </w:p>
    <w:p w14:paraId="77BADBF5">
      <w:pPr>
        <w:pStyle w:val="Normal"/>
        <w:numPr>
          <w:ilvl w:val="0"/>
          <w:numId w:val="10"/>
        </w:numPr>
      </w:pPr>
      <w:r>
        <w:rPr>
          <w:b/>
          <w:rFonts w:ascii="Aptos" w:hAnsi="Aptos" w:cs="Aptos" w:eastAsia="Aptos"/>
          <w:color w:val="000000"/>
          <w:sz w:val="22"/>
          <w:szCs w:val="22"/>
        </w:rPr>
        <w:t>ROLES OF THE PARTIES</w:t>
      </w:r>
    </w:p>
    <w:p w14:paraId="0ED04074">
      <w:pPr>
        <w:pStyle w:val="Normal"/>
        <w:numPr>
          <w:ilvl w:val="1"/>
          <w:numId w:val="10"/>
        </w:numPr>
      </w:pPr>
      <w:r>
        <w:rPr>
          <w:rFonts w:ascii="Aptos" w:hAnsi="Aptos" w:cs="Aptos" w:eastAsia="Aptos"/>
          <w:color w:val="000000"/>
          <w:sz w:val="22"/>
          <w:szCs w:val="22"/>
        </w:rPr>
        <w:t>The Parties acknowledge and agree on the following allocation of roles with respect to the processing of personal data in connection with the Platform Services:</w:t>
      </w:r>
    </w:p>
    <w:p w14:paraId="1E33FF93">
      <w:pPr>
        <w:pStyle w:val="Normal"/>
        <w:numPr>
          <w:ilvl w:val="0"/>
          <w:numId w:val="11"/>
        </w:numPr>
      </w:pPr>
      <w:r>
        <w:rPr>
          <w:rFonts w:ascii="Aptos" w:hAnsi="Aptos" w:cs="Aptos" w:eastAsia="Aptos"/>
          <w:color w:val="000000"/>
          <w:sz w:val="22"/>
          <w:szCs w:val="22"/>
        </w:rPr>
        <w:t>UTOPIA TECHNOLOGIES as data controller: UTOPIA TECHNOLOGIES acts as an independent data controller in respect of personal data of Customers that it collects directly for the purposes of operating the PLEIS Platform (including account registration, general transactional data, platform analytics, and communications with Customers). This processing is governed by the PLEIS Privacy Policy and is not subject to this DPA.</w:t>
      </w:r>
    </w:p>
    <w:p w14:paraId="2D97BEB2">
      <w:pPr>
        <w:pStyle w:val="Normal"/>
        <w:numPr>
          <w:ilvl w:val="0"/>
          <w:numId w:val="11"/>
        </w:numPr>
      </w:pPr>
      <w:r>
        <w:rPr>
          <w:rFonts w:ascii="Aptos" w:hAnsi="Aptos" w:cs="Aptos" w:eastAsia="Aptos"/>
          <w:color w:val="000000"/>
          <w:sz w:val="22"/>
          <w:szCs w:val="22"/>
        </w:rPr>
        <w:t>UTOPIA TECHNOLOGIES as data processor (subject of this DPA): UTOPIA TECHNOLOGIES acts as data processor on behalf of the Partner in respect of personal data of the Partner's Customers that is processed through the Platform strictly in connection with the Partner's own services - including order data, reservation data, ticket purchase data, and loyalty programme data attributable to the Partner's Customers - as further described in Annex A.</w:t>
      </w:r>
    </w:p>
    <w:p w14:paraId="5E8E0EB1">
      <w:pPr>
        <w:pStyle w:val="Normal"/>
        <w:numPr>
          <w:ilvl w:val="0"/>
          <w:numId w:val="11"/>
        </w:numPr>
      </w:pPr>
      <w:r>
        <w:rPr>
          <w:rFonts w:ascii="Aptos" w:hAnsi="Aptos" w:cs="Aptos" w:eastAsia="Aptos"/>
          <w:color w:val="000000"/>
          <w:sz w:val="22"/>
          <w:szCs w:val="22"/>
        </w:rPr>
        <w:t>Partner as data controller: The Partner acts as an independent data controller in respect of personal data of its Customers that it receives through the Platform for the purposes of operating its own services, including the Partner Loyalty Club. The Partner is solely responsible for the lawfulness of its own processing activities.</w:t>
      </w:r>
    </w:p>
    <w:p w14:paraId="1E33FF93">
      <w:pPr>
        <w:pStyle w:val="Normal"/>
        <w:numPr>
          <w:ilvl w:val="0"/>
          <w:numId w:val="11"/>
        </w:numPr>
      </w:pPr>
      <w:r>
        <w:rPr>
          <w:rFonts w:ascii="Aptos" w:hAnsi="Aptos" w:cs="Aptos" w:eastAsia="Aptos"/>
          <w:color w:val="000000"/>
          <w:sz w:val="22"/>
          <w:szCs w:val="22"/>
        </w:rPr>
        <w:t xml:space="preserve">Fiscalisation (where the Fiscalisation Module is activated): the Partner acts as data controller in its capacity as the person liable for the issuing and fiscalisation of invoices, UTOPIA TECHNOLOGIES acts as data processor, and Kupuj online d.o.o., Fiorella La Guardie 13, 51000 Rijeka, OIB: 60186252821, the operator of the BillKO system (the "Fiscalisation Provider"), acts as a sub-processor of UTOPIA TECHNOLOGIES. To the extent that the Fiscalisation Provider processes data for the purposes of its own statutory obligations, the security of its systems, the prevention of abuse, and the calculation of its own fees, it acts as an independent data controller for those purposes.</w:t>
      </w:r>
    </w:p>
    <w:p w14:paraId="6DF1CDD0">
      <w:pPr>
        <w:pStyle w:val="Normal"/>
        <w:numPr>
          <w:ilvl w:val="1"/>
          <w:numId w:val="10"/>
        </w:numPr>
      </w:pPr>
      <w:r>
        <w:rPr>
          <w:rFonts w:ascii="Aptos" w:hAnsi="Aptos" w:cs="Aptos" w:eastAsia="Aptos"/>
          <w:color w:val="000000"/>
          <w:sz w:val="22"/>
          <w:szCs w:val="22"/>
        </w:rPr>
        <w:t>Where UTOPIA TECHNOLOGIES and the Partner jointly determine the purposes and means of certain processing activities (in particular in connection with the Partner Loyalty Club where Customer data is shared between the Parties), the Parties shall be regarded as joint controllers within the meaning of Article 26 GDPR to the extent of such jointly determined processing. The allocation of responsibilities between joint controllers in respect of data subjects' rights is set out in Annex B to this DPA.</w:t>
      </w:r>
    </w:p>
    <w:p w14:paraId="7D558CEF">
      <w:pPr>
        <w:pStyle w:val="Normal"/>
        <w:numPr>
          <w:ilvl w:val="0"/>
          <w:numId w:val="10"/>
        </w:numPr>
      </w:pPr>
      <w:r>
        <w:rPr>
          <w:b/>
          <w:rFonts w:ascii="Aptos" w:hAnsi="Aptos" w:cs="Aptos" w:eastAsia="Aptos"/>
          <w:color w:val="000000"/>
          <w:sz w:val="22"/>
          <w:szCs w:val="22"/>
        </w:rPr>
        <w:t>OBLIGATIONS OF UTOPIA TECHNOLOGIES AS DATA PROCESSOR</w:t>
      </w:r>
    </w:p>
    <w:p w14:paraId="14747D39">
      <w:pPr>
        <w:pStyle w:val="Normal"/>
        <w:numPr>
          <w:ilvl w:val="1"/>
          <w:numId w:val="10"/>
        </w:numPr>
      </w:pPr>
      <w:r>
        <w:rPr>
          <w:rFonts w:ascii="Aptos" w:hAnsi="Aptos" w:cs="Aptos" w:eastAsia="Aptos"/>
          <w:color w:val="000000"/>
          <w:sz w:val="22"/>
          <w:szCs w:val="22"/>
        </w:rPr>
        <w:t>UTOPIA TECHNOLOGIES shall process Partner Personal Data only on the basis of documented Instructions from the Partner, as set out in this DPA and the Partner Service Agreement. If UTOPIA TECHNOLOGIES is required by Union law or the law of the Republic of Croatia to process Partner Personal Data beyond the scope of the Instructions, UTOPIA TECHNOLOGIES shall inform the Partner of that requirement before such processing, to the extent permitted by applicable law.</w:t>
      </w:r>
    </w:p>
    <w:p w14:paraId="456ACD23">
      <w:pPr>
        <w:pStyle w:val="Normal"/>
        <w:numPr>
          <w:ilvl w:val="1"/>
          <w:numId w:val="10"/>
        </w:numPr>
      </w:pPr>
      <w:r>
        <w:rPr>
          <w:rFonts w:ascii="Aptos" w:hAnsi="Aptos" w:cs="Aptos" w:eastAsia="Aptos"/>
          <w:color w:val="000000"/>
          <w:sz w:val="22"/>
          <w:szCs w:val="22"/>
        </w:rPr>
        <w:t>UTOPIA TECHNOLOGIES shall ensure that all persons authorised to process Partner Personal Data within UTOPIA TECHNOLOGIES are bound by appropriate obligations of confidentiality, whether contractual or statutory.</w:t>
      </w:r>
    </w:p>
    <w:p w14:paraId="54CE8C57">
      <w:pPr>
        <w:pStyle w:val="Normal"/>
        <w:numPr>
          <w:ilvl w:val="1"/>
          <w:numId w:val="10"/>
        </w:numPr>
      </w:pPr>
      <w:r>
        <w:rPr>
          <w:rFonts w:ascii="Aptos" w:hAnsi="Aptos" w:cs="Aptos" w:eastAsia="Aptos"/>
          <w:color w:val="000000"/>
          <w:sz w:val="22"/>
          <w:szCs w:val="22"/>
        </w:rPr>
        <w:t>UTOPIA TECHNOLOGIES shall implement and maintain appropriate technical and organisational measures to ensure a level of security appropriate to the risk of the processing, in accordance with Article 32 GDPR. These measures include, without limitation, those described in Annex C to this DPA.</w:t>
      </w:r>
    </w:p>
    <w:p w14:paraId="64324B76">
      <w:pPr>
        <w:pStyle w:val="Normal"/>
        <w:numPr>
          <w:ilvl w:val="1"/>
          <w:numId w:val="10"/>
        </w:numPr>
      </w:pPr>
      <w:r>
        <w:rPr>
          <w:rFonts w:ascii="Aptos" w:hAnsi="Aptos" w:cs="Aptos" w:eastAsia="Aptos"/>
          <w:color w:val="000000"/>
          <w:sz w:val="22"/>
          <w:szCs w:val="22"/>
        </w:rPr>
        <w:t>UTOPIA TECHNOLOGIES shall, taking into account the nature of the processing, assist the Partner by appropriate technical and organisational measures in fulfilling the Partner's obligations to respond to requests from data subjects exercising their rights under Chapter III of the GDPR (including rights of access, rectification, erasure, restriction, portability, and objection). UTOPIA TECHNOLOGIES shall promptly forward to the Partner any data subject request received that relates to Partner Personal Data.</w:t>
      </w:r>
    </w:p>
    <w:p w14:paraId="73960A95">
      <w:pPr>
        <w:pStyle w:val="Normal"/>
        <w:numPr>
          <w:ilvl w:val="1"/>
          <w:numId w:val="10"/>
        </w:numPr>
      </w:pPr>
      <w:r>
        <w:rPr>
          <w:rFonts w:ascii="Aptos" w:hAnsi="Aptos" w:cs="Aptos" w:eastAsia="Aptos"/>
          <w:color w:val="000000"/>
          <w:sz w:val="22"/>
          <w:szCs w:val="22"/>
        </w:rPr>
        <w:t>UTOPIA TECHNOLOGIES shall assist the Partner in ensuring compliance with the obligations set out in Articles 32 to 36 GDPR (security of processing, notification of personal data breaches, communication to data subjects, and data protection impact assessments), taking into account the nature of the processing and the information available to UTOPIA TECHNOLOGIES.</w:t>
      </w:r>
    </w:p>
    <w:p w14:paraId="02F9C9B4">
      <w:pPr>
        <w:pStyle w:val="Normal"/>
        <w:numPr>
          <w:ilvl w:val="1"/>
          <w:numId w:val="10"/>
        </w:numPr>
      </w:pPr>
      <w:r>
        <w:rPr>
          <w:rFonts w:ascii="Aptos" w:hAnsi="Aptos" w:cs="Aptos" w:eastAsia="Aptos"/>
          <w:color w:val="000000"/>
          <w:sz w:val="22"/>
          <w:szCs w:val="22"/>
        </w:rPr>
        <w:t>In the event of a personal data breach involving Partner Personal Data, UTOPIA TECHNOLOGIES shall notify the Partner without undue delay and in any event within 48 hours of becoming aware of such breach, providing sufficient information to enable the Partner to comply with its notification obligations under Article 33 GDPR. The notification shall include, to the extent then available: (a) a description of the nature of the breach, including the categories and approximate number of data subjects and personal data records concerned; (b) the contact details of the relevant contact point; (c) a description of the likely consequences of the breach; and (d) a description of the measures taken or proposed to address the breach.</w:t>
      </w:r>
    </w:p>
    <w:p w14:paraId="33F0199E">
      <w:pPr>
        <w:pStyle w:val="Normal"/>
        <w:numPr>
          <w:ilvl w:val="1"/>
          <w:numId w:val="10"/>
        </w:numPr>
      </w:pPr>
      <w:r>
        <w:rPr>
          <w:rFonts w:ascii="Aptos" w:hAnsi="Aptos" w:cs="Aptos" w:eastAsia="Aptos"/>
          <w:color w:val="000000"/>
          <w:sz w:val="22"/>
          <w:szCs w:val="22"/>
        </w:rPr>
        <w:t>At the choice of the Partner, UTOPIA TECHNOLOGIES shall, upon termination or expiry of the Partner Service Agreement or upon written request by the Partner, delete or return all Partner Personal Data, and shall delete existing copies, unless Union law or the law of the Republic of Croatia requires further storage. UTOPIA TECHNOLOGIES shall confirm in writing to the Partner the completion of deletion within [●] days of the request or the relevant triggering event.</w:t>
      </w:r>
    </w:p>
    <w:p w14:paraId="4353D8D2">
      <w:pPr>
        <w:pStyle w:val="Normal"/>
        <w:numPr>
          <w:ilvl w:val="1"/>
          <w:numId w:val="10"/>
        </w:numPr>
      </w:pPr>
      <w:r>
        <w:rPr>
          <w:rFonts w:ascii="Aptos" w:hAnsi="Aptos" w:cs="Aptos" w:eastAsia="Aptos"/>
          <w:color w:val="000000"/>
          <w:sz w:val="22"/>
          <w:szCs w:val="22"/>
        </w:rPr>
        <w:t>UTOPIA TECHNOLOGIES shall make available to the Partner all information necessary to demonstrate compliance with the obligations set out in this DPA and shall allow for and contribute to audits, including inspections, conducted by the Partner or an auditor mandated by the Partner. The Partner shall provide UTOPIA TECHNOLOGIES with reasonable advance notice of at least [●] days before conducting an audit and shall conduct audits in a manner that minimises disruption to UTOPIA TECHNOLOGIES's operations. The costs of any audit shall be borne by the Partner unless the audit reveals a material non-compliance by UTOPIA TECHNOLOGIES.</w:t>
      </w:r>
    </w:p>
    <w:p w14:paraId="52B797F1">
      <w:pPr>
        <w:pStyle w:val="Normal"/>
        <w:numPr>
          <w:ilvl w:val="1"/>
          <w:numId w:val="10"/>
        </w:numPr>
      </w:pPr>
      <w:r>
        <w:rPr>
          <w:rFonts w:ascii="Aptos" w:hAnsi="Aptos" w:cs="Aptos" w:eastAsia="Aptos"/>
          <w:color w:val="000000"/>
          <w:sz w:val="22"/>
          <w:szCs w:val="22"/>
        </w:rPr>
        <w:t>UTOPIA TECHNOLOGIES shall promptly notify the Partner if, in its opinion, an Instruction infringes the GDPR or other applicable data protection law of the Union or the Republic of Croatia.</w:t>
      </w:r>
    </w:p>
    <w:p w14:paraId="621B5710">
      <w:pPr>
        <w:pStyle w:val="Normal"/>
        <w:numPr>
          <w:ilvl w:val="0"/>
          <w:numId w:val="10"/>
        </w:numPr>
      </w:pPr>
      <w:r>
        <w:rPr>
          <w:b/>
          <w:rFonts w:ascii="Aptos" w:hAnsi="Aptos" w:cs="Aptos" w:eastAsia="Aptos"/>
          <w:color w:val="000000"/>
          <w:sz w:val="22"/>
          <w:szCs w:val="22"/>
        </w:rPr>
        <w:t>SUB-PROCESSORS</w:t>
      </w:r>
    </w:p>
    <w:p w14:paraId="793A475A">
      <w:pPr>
        <w:pStyle w:val="Normal"/>
        <w:numPr>
          <w:ilvl w:val="1"/>
          <w:numId w:val="10"/>
        </w:numPr>
      </w:pPr>
      <w:r>
        <w:rPr>
          <w:rFonts w:ascii="Aptos" w:hAnsi="Aptos" w:cs="Aptos" w:eastAsia="Aptos"/>
          <w:color w:val="000000"/>
          <w:sz w:val="22"/>
          <w:szCs w:val="22"/>
        </w:rPr>
        <w:t>The Partner hereby grants UTOPIA TECHNOLOGIES a general written authorisation to engage sub-processors for the purpose of providing the Platform Services. UTOPIA TECHNOLOGIES shall impose on each sub-processor data protection obligations equivalent to those set out in this DPA.</w:t>
      </w:r>
    </w:p>
    <w:p w14:paraId="2A309759">
      <w:pPr>
        <w:pStyle w:val="Normal"/>
        <w:numPr>
          <w:ilvl w:val="1"/>
          <w:numId w:val="10"/>
        </w:numPr>
      </w:pPr>
      <w:r>
        <w:rPr>
          <w:rFonts w:ascii="Aptos" w:hAnsi="Aptos" w:cs="Aptos" w:eastAsia="Aptos"/>
          <w:color w:val="000000"/>
          <w:sz w:val="22"/>
          <w:szCs w:val="22"/>
        </w:rPr>
        <w:t>The sub-processors engaged by UTOPIA TECHNOLOGIES as of the date of this DPA are listed in Annex D to this DPA. This list includes, without limitation, the payment service provider Monri Payments d.o.o. (OIB: 82551932122), hosting and cloud infrastructure providers, and analytics service providers.</w:t>
      </w:r>
    </w:p>
    <w:p w14:paraId="39945678">
      <w:pPr>
        <w:pStyle w:val="Normal"/>
        <w:numPr>
          <w:ilvl w:val="1"/>
          <w:numId w:val="10"/>
        </w:numPr>
      </w:pPr>
      <w:r>
        <w:rPr>
          <w:rFonts w:ascii="Aptos" w:hAnsi="Aptos" w:cs="Aptos" w:eastAsia="Aptos"/>
          <w:color w:val="000000"/>
          <w:sz w:val="22"/>
          <w:szCs w:val="22"/>
        </w:rPr>
        <w:t>UTOPIA TECHNOLOGIES shall inform the Partner of any planned addition or replacement of sub-processors by providing at least [●] days' prior written notice to the Partner (via e-mail or through a notification in the Partner Dashboard). The Partner may object to the engagement of a new sub-processor on reasonable grounds relating to data protection within [●] days of receipt of such notice. If the Parties cannot resolve the objection within [●] days of the Partner's objection, either Party may terminate this DPA and the Partner Service Agreement upon [●] days' written notice.</w:t>
      </w:r>
    </w:p>
    <w:p w14:paraId="48F81597">
      <w:pPr>
        <w:pStyle w:val="Normal"/>
        <w:numPr>
          <w:ilvl w:val="1"/>
          <w:numId w:val="10"/>
        </w:numPr>
      </w:pPr>
      <w:r>
        <w:rPr>
          <w:rFonts w:ascii="Aptos" w:hAnsi="Aptos" w:cs="Aptos" w:eastAsia="Aptos"/>
          <w:color w:val="000000"/>
          <w:sz w:val="22"/>
          <w:szCs w:val="22"/>
        </w:rPr>
        <w:t>If a sub-processor fails to fulfil its data protection obligations, UTOPIA TECHNOLOGIES remains fully liable to the Partner for the performance of the sub-processor's obligations.</w:t>
      </w:r>
    </w:p>
    <w:p w14:paraId="793A475A">
      <w:pPr>
        <w:pStyle w:val="Normal"/>
        <w:numPr>
          <w:ilvl w:val="1"/>
          <w:numId w:val="10"/>
        </w:numPr>
      </w:pPr>
      <w:r>
        <w:rPr>
          <w:rFonts w:ascii="Aptos" w:hAnsi="Aptos" w:cs="Aptos" w:eastAsia="Aptos"/>
          <w:color w:val="000000"/>
          <w:sz w:val="22"/>
          <w:szCs w:val="22"/>
        </w:rPr>
        <w:t xml:space="preserve">By activating the Fiscalisation Module, the Partner expressly accepts the engagement of the Fiscalisation Provider as a sub-processor for the purposes of the preparation, issuing, and fiscalisation of invoices. The Fiscalisation Provider processes Partner Personal Data solely for the purposes of providing the fiscalisation service, the security of its systems, technical support, the prevention of abuse, the calculation of fees, and compliance with its statutory obligations, and is bound by data protection obligations equivalent to those set out in this DPA.</w:t>
      </w:r>
    </w:p>
    <w:p w14:paraId="793A475A">
      <w:pPr>
        <w:pStyle w:val="Normal"/>
        <w:numPr>
          <w:ilvl w:val="1"/>
          <w:numId w:val="10"/>
        </w:numPr>
      </w:pPr>
      <w:r>
        <w:rPr>
          <w:rFonts w:ascii="Aptos" w:hAnsi="Aptos" w:cs="Aptos" w:eastAsia="Aptos"/>
          <w:color w:val="000000"/>
          <w:sz w:val="22"/>
          <w:szCs w:val="22"/>
        </w:rPr>
        <w:t xml:space="preserve">Partner Personal Data processed in connection with the Fiscalisation Module is retained for the period required by applicable tax and accounting legislation, which may exceed the duration of the Partner Service Agreement. Upon deactivation of the Fiscalisation Module or termination of the Partner Service Agreement, the Partner may request a one-off export of such data within thirty (30) days, after which the data is retained only to the extent required by applicable legislation and is thereafter deleted.</w:t>
      </w:r>
    </w:p>
    <w:p w14:paraId="585BD4B6">
      <w:pPr>
        <w:pStyle w:val="Normal"/>
        <w:numPr>
          <w:ilvl w:val="0"/>
          <w:numId w:val="10"/>
        </w:numPr>
      </w:pPr>
      <w:r>
        <w:rPr>
          <w:b/>
          <w:rFonts w:ascii="Aptos" w:hAnsi="Aptos" w:cs="Aptos" w:eastAsia="Aptos"/>
          <w:color w:val="000000"/>
          <w:sz w:val="22"/>
          <w:szCs w:val="22"/>
        </w:rPr>
        <w:t>INTERNATIONAL TRANSFERS</w:t>
      </w:r>
    </w:p>
    <w:p w14:paraId="1103CA00">
      <w:pPr>
        <w:pStyle w:val="Normal"/>
        <w:numPr>
          <w:ilvl w:val="1"/>
          <w:numId w:val="10"/>
        </w:numPr>
      </w:pPr>
      <w:r>
        <w:rPr>
          <w:rFonts w:ascii="Aptos" w:hAnsi="Aptos" w:cs="Aptos" w:eastAsia="Aptos"/>
          <w:color w:val="000000"/>
          <w:sz w:val="22"/>
          <w:szCs w:val="22"/>
        </w:rPr>
        <w:t>UTOPIA TECHNOLOGIES shall not transfer Partner Personal Data to a third country or international organisation outside the European Economic Area (EEA) without ensuring that an appropriate transfer mechanism is in place in accordance with Chapter V of the GDPR (including, without limitation, adequacy decisions, standard contractual clauses, binding corporate rules, or other approved mechanisms).</w:t>
      </w:r>
    </w:p>
    <w:p w14:paraId="20678934">
      <w:pPr>
        <w:pStyle w:val="Normal"/>
        <w:numPr>
          <w:ilvl w:val="1"/>
          <w:numId w:val="10"/>
        </w:numPr>
      </w:pPr>
      <w:r>
        <w:rPr>
          <w:rFonts w:ascii="Aptos" w:hAnsi="Aptos" w:cs="Aptos" w:eastAsia="Aptos"/>
          <w:color w:val="000000"/>
          <w:sz w:val="22"/>
          <w:szCs w:val="22"/>
        </w:rPr>
        <w:t>Any international transfers of Partner Personal Data carried out by UTOPIA TECHNOLOGIES or its sub-processors are described in Annex D to this DPA, together with the applicable transfer mechanism.</w:t>
      </w:r>
    </w:p>
    <w:p w14:paraId="2FCB4853">
      <w:pPr>
        <w:pStyle w:val="Normal"/>
        <w:numPr>
          <w:ilvl w:val="0"/>
          <w:numId w:val="10"/>
        </w:numPr>
      </w:pPr>
      <w:r>
        <w:rPr>
          <w:b/>
          <w:rFonts w:ascii="Aptos" w:hAnsi="Aptos" w:cs="Aptos" w:eastAsia="Aptos"/>
          <w:color w:val="000000"/>
          <w:sz w:val="22"/>
          <w:szCs w:val="22"/>
        </w:rPr>
        <w:t>JOINT CONTROLLER ARRANGEMENT (LOYALTY CLUB)</w:t>
      </w:r>
    </w:p>
    <w:p w14:paraId="46E0ACD2">
      <w:pPr>
        <w:pStyle w:val="Normal"/>
        <w:numPr>
          <w:ilvl w:val="1"/>
          <w:numId w:val="10"/>
        </w:numPr>
      </w:pPr>
      <w:r>
        <w:rPr>
          <w:rFonts w:ascii="Aptos" w:hAnsi="Aptos" w:cs="Aptos" w:eastAsia="Aptos"/>
          <w:color w:val="000000"/>
          <w:sz w:val="22"/>
          <w:szCs w:val="22"/>
        </w:rPr>
        <w:t>To the extent that UTOPIA TECHNOLOGIES and the Partner act as joint controllers in connection with the Partner Loyalty Club (as described in Section 2.2 of this DPA), the following allocation of responsibilities shall apply in accordance with Article 26 GDPR:</w:t>
      </w:r>
    </w:p>
    <w:p w14:paraId="56446BF1">
      <w:pPr>
        <w:pStyle w:val="Normal"/>
        <w:numPr>
          <w:ilvl w:val="0"/>
          <w:numId w:val="12"/>
        </w:numPr>
      </w:pPr>
      <w:r>
        <w:rPr>
          <w:rFonts w:ascii="Aptos" w:hAnsi="Aptos" w:cs="Aptos" w:eastAsia="Aptos"/>
          <w:color w:val="000000"/>
          <w:sz w:val="22"/>
          <w:szCs w:val="22"/>
        </w:rPr>
        <w:t>UTOPIA TECHNOLOGIES is responsible for: providing the technical infrastructure for the loyalty programme; collecting and transmitting Customer loyalty data to the Partner; ensuring the lawfulness of the initial collection of Customer data for loyalty purposes; publishing information on the joint processing in the PLEIS Privacy Policy.</w:t>
      </w:r>
    </w:p>
    <w:p w14:paraId="074447BB">
      <w:pPr>
        <w:pStyle w:val="Normal"/>
        <w:numPr>
          <w:ilvl w:val="0"/>
          <w:numId w:val="12"/>
        </w:numPr>
      </w:pPr>
      <w:r>
        <w:rPr>
          <w:rFonts w:ascii="Aptos" w:hAnsi="Aptos" w:cs="Aptos" w:eastAsia="Aptos"/>
          <w:color w:val="000000"/>
          <w:sz w:val="22"/>
          <w:szCs w:val="22"/>
        </w:rPr>
        <w:t>Partner is responsible for: operating the Partner Loyalty Club on the basis of a valid legal ground; providing a compliant privacy notice to Customers regarding the Partner Loyalty Club; responding to data subject requests in respect of the Partner's own loyalty processing; ensuring that Customer data received from UTOPIA TECHNOLOGIES for loyalty purposes is used solely for the purposes of the loyalty programme.</w:t>
      </w:r>
    </w:p>
    <w:p w14:paraId="16A806DA">
      <w:pPr>
        <w:pStyle w:val="Normal"/>
        <w:numPr>
          <w:ilvl w:val="1"/>
          <w:numId w:val="10"/>
        </w:numPr>
      </w:pPr>
      <w:r>
        <w:rPr>
          <w:rFonts w:ascii="Aptos" w:hAnsi="Aptos" w:cs="Aptos" w:eastAsia="Aptos"/>
          <w:color w:val="000000"/>
          <w:sz w:val="22"/>
          <w:szCs w:val="22"/>
        </w:rPr>
        <w:t>Notwithstanding the above allocation, data subjects may exercise their rights under the GDPR against either Party. The Party receiving a data subject request that falls within the other Party's area of responsibility shall promptly forward the request to the other Party and shall cooperate in providing a response within the applicable statutory timeframe.</w:t>
      </w:r>
    </w:p>
    <w:p w14:paraId="260BC5F9">
      <w:pPr>
        <w:pStyle w:val="Normal"/>
        <w:numPr>
          <w:ilvl w:val="0"/>
          <w:numId w:val="10"/>
        </w:numPr>
      </w:pPr>
      <w:r>
        <w:rPr>
          <w:b/>
          <w:rFonts w:ascii="Aptos" w:hAnsi="Aptos" w:cs="Aptos" w:eastAsia="Aptos"/>
          <w:color w:val="000000"/>
          <w:sz w:val="22"/>
          <w:szCs w:val="22"/>
        </w:rPr>
        <w:t>TERM AND TERMINATION</w:t>
      </w:r>
    </w:p>
    <w:p w14:paraId="3D212A78">
      <w:pPr>
        <w:pStyle w:val="Normal"/>
        <w:numPr>
          <w:ilvl w:val="1"/>
          <w:numId w:val="10"/>
        </w:numPr>
      </w:pPr>
      <w:r>
        <w:rPr>
          <w:rFonts w:ascii="Aptos" w:hAnsi="Aptos" w:cs="Aptos" w:eastAsia="Aptos"/>
          <w:color w:val="000000"/>
          <w:sz w:val="22"/>
          <w:szCs w:val="22"/>
        </w:rPr>
        <w:t>This DPA shall enter into force on the date of execution of the Partner Service Agreement and shall remain in force for the duration of the Partner Service Agreement. Termination or expiry of the Partner Service Agreement shall automatically terminate this DPA, subject to the obligations set out in Section 3.7 (deletion or return of data) and any provisions that expressly survive termination.</w:t>
      </w:r>
    </w:p>
    <w:p w14:paraId="6E177A62">
      <w:pPr>
        <w:pStyle w:val="Normal"/>
        <w:numPr>
          <w:ilvl w:val="1"/>
          <w:numId w:val="10"/>
        </w:numPr>
      </w:pPr>
      <w:r>
        <w:rPr>
          <w:rFonts w:ascii="Aptos" w:hAnsi="Aptos" w:cs="Aptos" w:eastAsia="Aptos"/>
          <w:color w:val="000000"/>
          <w:sz w:val="22"/>
          <w:szCs w:val="22"/>
        </w:rPr>
        <w:t>Sections 3 (obligations of UTOPIA TECHNOLOGIES as data processor), 5 (sub-processors), 6 (international transfers), 7 (joint controller arrangement), and 9 (governing law) shall survive the termination or expiry of this DPA to the extent necessary to ensure the continued protection of Partner Personal Data.</w:t>
      </w:r>
    </w:p>
    <w:p w14:paraId="7D7B3996">
      <w:pPr>
        <w:pStyle w:val="Normal"/>
        <w:numPr>
          <w:ilvl w:val="0"/>
          <w:numId w:val="10"/>
        </w:numPr>
      </w:pPr>
      <w:r>
        <w:rPr>
          <w:b/>
          <w:rFonts w:ascii="Aptos" w:hAnsi="Aptos" w:cs="Aptos" w:eastAsia="Aptos"/>
          <w:color w:val="000000"/>
          <w:sz w:val="22"/>
          <w:szCs w:val="22"/>
        </w:rPr>
        <w:t>LIABILITY</w:t>
      </w:r>
    </w:p>
    <w:p w14:paraId="14909E15">
      <w:pPr>
        <w:pStyle w:val="Normal"/>
        <w:numPr>
          <w:ilvl w:val="1"/>
          <w:numId w:val="10"/>
        </w:numPr>
      </w:pPr>
      <w:r>
        <w:rPr>
          <w:rFonts w:ascii="Aptos" w:hAnsi="Aptos" w:cs="Aptos" w:eastAsia="Aptos"/>
          <w:color w:val="000000"/>
          <w:sz w:val="22"/>
          <w:szCs w:val="22"/>
        </w:rPr>
        <w:t>Each Party shall be liable for the damage caused by processing that infringes the GDPR or this DPA in accordance with Articles 82, 83, and 84 GDPR. As between the Parties, liability for damages caused by UTOPIA TECHNOLOGIES acting as data processor shall be limited in accordance with the liability provisions of the Partner Service Agreement and the Partner Terms, to the maximum extent permitted by applicable law.</w:t>
      </w:r>
    </w:p>
    <w:p w14:paraId="23F45D34">
      <w:pPr>
        <w:pStyle w:val="Normal"/>
        <w:numPr>
          <w:ilvl w:val="0"/>
          <w:numId w:val="10"/>
        </w:numPr>
      </w:pPr>
      <w:r>
        <w:rPr>
          <w:b/>
          <w:rFonts w:ascii="Aptos" w:hAnsi="Aptos" w:cs="Aptos" w:eastAsia="Aptos"/>
          <w:color w:val="000000"/>
          <w:sz w:val="22"/>
          <w:szCs w:val="22"/>
        </w:rPr>
        <w:t>GOVERNING LAW</w:t>
      </w:r>
    </w:p>
    <w:p w14:paraId="07C0D0A7">
      <w:pPr>
        <w:pStyle w:val="Normal"/>
        <w:numPr>
          <w:ilvl w:val="1"/>
          <w:numId w:val="10"/>
        </w:numPr>
      </w:pPr>
      <w:r>
        <w:rPr>
          <w:rFonts w:ascii="Aptos" w:hAnsi="Aptos" w:cs="Aptos" w:eastAsia="Aptos"/>
          <w:color w:val="000000"/>
          <w:sz w:val="22"/>
          <w:szCs w:val="22"/>
        </w:rPr>
        <w:t>This DPA is governed by the laws of the Republic of Croatia and applicable EU data protection law, including the GDPR. All disputes arising from or in connection with this DPA shall be subject to the exclusive jurisdiction of the competent courts in Zagreb, Republic of Croatia.</w:t>
      </w:r>
    </w:p>
    <w:p w14:paraId="4D6D49CD">
      <w:pPr>
        <w:pStyle w:val="Normal"/>
        <w:numPr>
          <w:ilvl w:val="1"/>
          <w:numId w:val="10"/>
        </w:numPr>
      </w:pPr>
      <w:r>
        <w:rPr>
          <w:rFonts w:ascii="Aptos" w:hAnsi="Aptos" w:cs="Aptos" w:eastAsia="Aptos"/>
          <w:color w:val="000000"/>
          <w:sz w:val="22"/>
          <w:szCs w:val="22"/>
        </w:rPr>
        <w:t>This DPA is made available in Croatian and English. In the event of any inconsistency or conflict between the Croatian and English versions, the Croatian version shall prevail.</w:t>
      </w:r>
    </w:p>
    <w:p w14:paraId="2BA95BE5">
      <w:pPr>
        <w:pStyle w:val="Normal"/>
        <w:numPr>
          <w:ilvl w:val="0"/>
          <w:numId w:val="10"/>
        </w:numPr>
      </w:pPr>
      <w:r>
        <w:rPr>
          <w:b/>
          <w:rFonts w:ascii="Aptos" w:hAnsi="Aptos" w:cs="Aptos" w:eastAsia="Aptos"/>
          <w:color w:val="000000"/>
          <w:sz w:val="22"/>
          <w:szCs w:val="22"/>
        </w:rPr>
        <w:t>ANNEX A - DESCRIPTION OF PROCESSING ACTIVITIES</w:t>
      </w:r>
    </w:p>
    <w:p w14:paraId="774086E9">
      <w:pPr>
        <w:pStyle w:val="Normal"/>
        <w:numPr>
          <w:ilvl w:val="1"/>
          <w:numId w:val="10"/>
        </w:numPr>
      </w:pPr>
      <w:r>
        <w:rPr>
          <w:rFonts w:ascii="Aptos" w:hAnsi="Aptos" w:cs="Aptos" w:eastAsia="Aptos"/>
          <w:color w:val="000000"/>
          <w:sz w:val="22"/>
          <w:szCs w:val="22"/>
        </w:rPr>
        <w:t>Subject matter and duration of processing: processing of Customer personal data in connection with the Partner's use of the Platform Services (Ticketing, Reservation, Ordering, Loyalty modules), for the duration of the Partner Service Agreement.</w:t>
      </w:r>
    </w:p>
    <w:p w14:paraId="5454AB6C">
      <w:pPr>
        <w:pStyle w:val="Normal"/>
        <w:numPr>
          <w:ilvl w:val="1"/>
          <w:numId w:val="10"/>
        </w:numPr>
      </w:pPr>
      <w:r>
        <w:rPr>
          <w:rFonts w:ascii="Aptos" w:hAnsi="Aptos" w:cs="Aptos" w:eastAsia="Aptos"/>
          <w:color w:val="000000"/>
          <w:sz w:val="22"/>
          <w:szCs w:val="22"/>
        </w:rPr>
        <w:t>Nature and purpose of processing: collection, storage, transmission, and limited use of Customer personal data for the purpose of facilitating the Partner's sale of tickets, management of reservations, processing of on-site orders, and operation of the Partner Loyalty Club through the PLEIS Platform.</w:t>
      </w:r>
    </w:p>
    <w:p w14:paraId="42285884">
      <w:pPr>
        <w:pStyle w:val="Normal"/>
        <w:numPr>
          <w:ilvl w:val="1"/>
          <w:numId w:val="10"/>
        </w:numPr>
      </w:pPr>
      <w:r>
        <w:rPr>
          <w:rFonts w:ascii="Aptos" w:hAnsi="Aptos" w:cs="Aptos" w:eastAsia="Aptos"/>
          <w:color w:val="000000"/>
          <w:sz w:val="22"/>
          <w:szCs w:val="22"/>
        </w:rPr>
        <w:t>Categories of personal data:</w:t>
      </w:r>
    </w:p>
    <w:p w14:paraId="1F3C7D07">
      <w:pPr>
        <w:pStyle w:val="Normal"/>
        <w:numPr>
          <w:ilvl w:val="0"/>
          <w:numId w:val="13"/>
        </w:numPr>
      </w:pPr>
      <w:r>
        <w:rPr>
          <w:rFonts w:ascii="Aptos" w:hAnsi="Aptos" w:cs="Aptos" w:eastAsia="Aptos"/>
          <w:color w:val="000000"/>
          <w:sz w:val="22"/>
          <w:szCs w:val="22"/>
        </w:rPr>
        <w:t>Identification data: first name, last name, e-mail address, telephone number</w:t>
      </w:r>
    </w:p>
    <w:p w14:paraId="7C50A18A">
      <w:pPr>
        <w:pStyle w:val="Normal"/>
        <w:numPr>
          <w:ilvl w:val="0"/>
          <w:numId w:val="13"/>
        </w:numPr>
      </w:pPr>
      <w:r>
        <w:rPr>
          <w:rFonts w:ascii="Aptos" w:hAnsi="Aptos" w:cs="Aptos" w:eastAsia="Aptos"/>
          <w:color w:val="000000"/>
          <w:sz w:val="22"/>
          <w:szCs w:val="22"/>
        </w:rPr>
        <w:t>Transaction data: ticket purchase history, reservation data, order history, amounts paid</w:t>
      </w:r>
    </w:p>
    <w:p w14:paraId="5964C60D">
      <w:pPr>
        <w:pStyle w:val="Normal"/>
        <w:numPr>
          <w:ilvl w:val="0"/>
          <w:numId w:val="13"/>
        </w:numPr>
      </w:pPr>
      <w:r>
        <w:rPr>
          <w:rFonts w:ascii="Aptos" w:hAnsi="Aptos" w:cs="Aptos" w:eastAsia="Aptos"/>
          <w:color w:val="000000"/>
          <w:sz w:val="22"/>
          <w:szCs w:val="22"/>
        </w:rPr>
        <w:t>Loyalty programme data: loyalty points balance, redemption history, enrolled loyalty club</w:t>
      </w:r>
    </w:p>
    <w:p w14:paraId="3678EA90">
      <w:pPr>
        <w:pStyle w:val="Normal"/>
        <w:numPr>
          <w:ilvl w:val="0"/>
          <w:numId w:val="13"/>
        </w:numPr>
      </w:pPr>
      <w:r>
        <w:rPr>
          <w:rFonts w:ascii="Aptos" w:hAnsi="Aptos" w:cs="Aptos" w:eastAsia="Aptos"/>
          <w:color w:val="000000"/>
          <w:sz w:val="22"/>
          <w:szCs w:val="22"/>
        </w:rPr>
        <w:t>Operational data: access logs, timestamps, device and session identifiers (to the extent linked to individual Customers)</w:t>
      </w:r>
    </w:p>
    <w:p w14:paraId="244C97A8">
      <w:pPr>
        <w:pStyle w:val="Normal"/>
        <w:numPr>
          <w:ilvl w:val="0"/>
          <w:numId w:val="13"/>
        </w:numPr>
      </w:pPr>
      <w:r>
        <w:rPr>
          <w:rFonts w:ascii="Aptos" w:hAnsi="Aptos" w:cs="Aptos" w:eastAsia="Aptos"/>
          <w:color w:val="000000"/>
          <w:sz w:val="22"/>
          <w:szCs w:val="22"/>
        </w:rPr>
        <w:t>Partner employee data (in connection with Staff and Access Management module): name, e-mail address, assigned role and access level</w:t>
      </w:r>
    </w:p>
    <w:p w14:paraId="244C97A8">
      <w:pPr>
        <w:pStyle w:val="Normal"/>
        <w:numPr>
          <w:ilvl w:val="0"/>
          <w:numId w:val="13"/>
        </w:numPr>
      </w:pPr>
      <w:r>
        <w:rPr>
          <w:rFonts w:ascii="Aptos" w:hAnsi="Aptos" w:cs="Aptos" w:eastAsia="Aptos"/>
          <w:color w:val="000000"/>
          <w:sz w:val="22"/>
          <w:szCs w:val="22"/>
        </w:rPr>
        <w:t xml:space="preserve">Invoicing and fiscalisation data (where the Fiscalisation Module is activated): invoice number and date, items, quantities and prices, tax rates and amounts, method of payment, identifiers of business premises and charging devices, data on the operator issuing the invoice including name and personal identification number where required, identification data of the buyer where an invoice containing such data is requested, and the identifiers assigned to the invoice under applicable legislation</w:t>
      </w:r>
    </w:p>
    <w:p w14:paraId="0160BC2B">
      <w:pPr>
        <w:pStyle w:val="Normal"/>
        <w:numPr>
          <w:ilvl w:val="1"/>
          <w:numId w:val="10"/>
        </w:numPr>
      </w:pPr>
      <w:r>
        <w:rPr>
          <w:rFonts w:ascii="Aptos" w:hAnsi="Aptos" w:cs="Aptos" w:eastAsia="Aptos"/>
          <w:color w:val="000000"/>
          <w:sz w:val="22"/>
          <w:szCs w:val="22"/>
        </w:rPr>
        <w:t>Categories of data subjects: Customers of the Partner who have made a purchase, reservation, or order through the PLEIS Platform in connection with the Partner's services; employees or staff of the Partner who have been granted access to the Partner Account.</w:t>
      </w:r>
    </w:p>
    <w:p w14:paraId="5F9CCE43">
      <w:pPr>
        <w:pStyle w:val="Normal"/>
        <w:numPr>
          <w:ilvl w:val="1"/>
          <w:numId w:val="10"/>
        </w:numPr>
      </w:pPr>
      <w:r>
        <w:rPr>
          <w:rFonts w:ascii="Aptos" w:hAnsi="Aptos" w:cs="Aptos" w:eastAsia="Aptos"/>
          <w:color w:val="000000"/>
          <w:sz w:val="22"/>
          <w:szCs w:val="22"/>
        </w:rPr>
        <w:t xml:space="preserve">Where the Fiscalisation Module is activated, the categories of data subjects additionally include employees and other persons designated by the Partner as operators for the purposes of issuing invoices, and Customers who request an invoice containing their identification data.</w:t>
      </w:r>
    </w:p>
    <w:p w14:paraId="5F9CCE43">
      <w:pPr>
        <w:pStyle w:val="Normal"/>
        <w:numPr>
          <w:ilvl w:val="1"/>
          <w:numId w:val="10"/>
        </w:numPr>
      </w:pPr>
      <w:r>
        <w:rPr>
          <w:rFonts w:ascii="Aptos" w:hAnsi="Aptos" w:cs="Aptos" w:eastAsia="Aptos"/>
          <w:color w:val="000000"/>
          <w:sz w:val="22"/>
          <w:szCs w:val="22"/>
        </w:rPr>
        <w:t>Legal ground for processing (as data processor on behalf of the Partner, to be confirmed by Partner): [ ] performance of a contract (Article 6(1)(b) GDPR); [ ] legitimate interests (Article 6(1)(f) GDPR); [ ] consent (Article 6(1)(a) GDPR); [ ] other: [specify].</w:t>
      </w:r>
    </w:p>
    <w:p w14:paraId="3CB0F2C6">
      <w:pPr>
        <w:pStyle w:val="Normal"/>
        <w:numPr>
          <w:ilvl w:val="0"/>
          <w:numId w:val="10"/>
        </w:numPr>
      </w:pPr>
      <w:r>
        <w:rPr>
          <w:b/>
          <w:rFonts w:ascii="Aptos" w:hAnsi="Aptos" w:cs="Aptos" w:eastAsia="Aptos"/>
          <w:color w:val="000000"/>
          <w:sz w:val="22"/>
          <w:szCs w:val="22"/>
        </w:rPr>
        <w:t>ANNEX B - JOINT CONTROLLER RESPONSIBILITIES (LOYALTY CLUB)</w:t>
      </w:r>
    </w:p>
    <w:p w14:paraId="1907A65F">
      <w:pPr>
        <w:pStyle w:val="Normal"/>
        <w:numPr>
          <w:ilvl w:val="1"/>
          <w:numId w:val="10"/>
        </w:numPr>
      </w:pPr>
      <w:r>
        <w:rPr>
          <w:rFonts w:ascii="Aptos" w:hAnsi="Aptos" w:cs="Aptos" w:eastAsia="Aptos"/>
          <w:color w:val="000000"/>
          <w:sz w:val="22"/>
          <w:szCs w:val="22"/>
        </w:rPr>
        <w:t>This Annex sets out the allocation of responsibilities between UTOPIA TECHNOLOGIES and the Partner as joint controllers in connection with the Partner Loyalty Club, in accordance with Article 26 GDPR. The essence of this arrangement shall be made available to data subjects upon request.</w:t>
      </w:r>
    </w:p>
    <w:p w14:paraId="761BCAE2">
      <w:pPr>
        <w:pStyle w:val="Normal"/>
        <w:numPr>
          <w:ilvl w:val="1"/>
          <w:numId w:val="10"/>
        </w:numPr>
      </w:pPr>
      <w:r>
        <w:rPr>
          <w:rFonts w:ascii="Aptos" w:hAnsi="Aptos" w:cs="Aptos" w:eastAsia="Aptos"/>
          <w:color w:val="000000"/>
          <w:sz w:val="22"/>
          <w:szCs w:val="22"/>
        </w:rPr>
        <w:t>Single point of contact for data subjects: UTOPIA TECHNOLOGIES shall serve as the primary contact point for data subjects exercising their rights in connection with the jointly processed data, and shall forward requests falling within the Partner's responsibility to the Partner without undue delay. The Partner shall respond to forwarded requests within the applicable statutory timeframe.</w:t>
      </w:r>
    </w:p>
    <w:p w14:paraId="532FEF65">
      <w:pPr>
        <w:pStyle w:val="Normal"/>
        <w:numPr>
          <w:ilvl w:val="0"/>
          <w:numId w:val="10"/>
        </w:numPr>
      </w:pPr>
      <w:r>
        <w:rPr>
          <w:b/>
          <w:rFonts w:ascii="Aptos" w:hAnsi="Aptos" w:cs="Aptos" w:eastAsia="Aptos"/>
          <w:color w:val="000000"/>
          <w:sz w:val="22"/>
          <w:szCs w:val="22"/>
        </w:rPr>
        <w:t>ANNEX C - TECHNICAL AND ORGANISATIONAL SECURITY MEASURES</w:t>
      </w:r>
    </w:p>
    <w:p w14:paraId="1EC71A69">
      <w:pPr>
        <w:pStyle w:val="Normal"/>
        <w:numPr>
          <w:ilvl w:val="1"/>
          <w:numId w:val="10"/>
        </w:numPr>
      </w:pPr>
      <w:r>
        <w:rPr>
          <w:rFonts w:ascii="Aptos" w:hAnsi="Aptos" w:cs="Aptos" w:eastAsia="Aptos"/>
          <w:color w:val="000000"/>
          <w:sz w:val="22"/>
          <w:szCs w:val="22"/>
        </w:rPr>
        <w:t>UTOPIA TECHNOLOGIES implements and maintains the following technical and organisational security measures in connection with the processing of Partner Personal Data:</w:t>
      </w:r>
    </w:p>
    <w:p w14:paraId="7BDB3EEC">
      <w:pPr>
        <w:pStyle w:val="Normal"/>
        <w:numPr>
          <w:ilvl w:val="0"/>
          <w:numId w:val="14"/>
        </w:numPr>
      </w:pPr>
      <w:r>
        <w:rPr>
          <w:rFonts w:ascii="Aptos" w:hAnsi="Aptos" w:cs="Aptos" w:eastAsia="Aptos"/>
          <w:color w:val="000000"/>
          <w:sz w:val="22"/>
          <w:szCs w:val="22"/>
        </w:rPr>
        <w:t>Encryption of personal data in transit (TLS/SSL) and at rest (AES-256 or equivalent)</w:t>
      </w:r>
    </w:p>
    <w:p w14:paraId="69AEEC04">
      <w:pPr>
        <w:pStyle w:val="Normal"/>
        <w:numPr>
          <w:ilvl w:val="0"/>
          <w:numId w:val="14"/>
        </w:numPr>
      </w:pPr>
      <w:r>
        <w:rPr>
          <w:rFonts w:ascii="Aptos" w:hAnsi="Aptos" w:cs="Aptos" w:eastAsia="Aptos"/>
          <w:color w:val="000000"/>
          <w:sz w:val="22"/>
          <w:szCs w:val="22"/>
        </w:rPr>
        <w:t>Access controls: role-based access control, principle of least privilege, multi-factor authentication for administrative access</w:t>
      </w:r>
    </w:p>
    <w:p w14:paraId="46C31087">
      <w:pPr>
        <w:pStyle w:val="Normal"/>
        <w:numPr>
          <w:ilvl w:val="0"/>
          <w:numId w:val="14"/>
        </w:numPr>
      </w:pPr>
      <w:r>
        <w:rPr>
          <w:rFonts w:ascii="Aptos" w:hAnsi="Aptos" w:cs="Aptos" w:eastAsia="Aptos"/>
          <w:color w:val="000000"/>
          <w:sz w:val="22"/>
          <w:szCs w:val="22"/>
        </w:rPr>
        <w:t>Pseudonymisation and data minimisation where technically feasible</w:t>
      </w:r>
    </w:p>
    <w:p w14:paraId="23D7350A">
      <w:pPr>
        <w:pStyle w:val="Normal"/>
        <w:numPr>
          <w:ilvl w:val="0"/>
          <w:numId w:val="14"/>
        </w:numPr>
      </w:pPr>
      <w:r>
        <w:rPr>
          <w:rFonts w:ascii="Aptos" w:hAnsi="Aptos" w:cs="Aptos" w:eastAsia="Aptos"/>
          <w:color w:val="000000"/>
          <w:sz w:val="22"/>
          <w:szCs w:val="22"/>
        </w:rPr>
        <w:t>Regular security testing, vulnerability assessments, and penetration testing</w:t>
      </w:r>
    </w:p>
    <w:p w14:paraId="02134722">
      <w:pPr>
        <w:pStyle w:val="Normal"/>
        <w:numPr>
          <w:ilvl w:val="0"/>
          <w:numId w:val="14"/>
        </w:numPr>
      </w:pPr>
      <w:r>
        <w:rPr>
          <w:rFonts w:ascii="Aptos" w:hAnsi="Aptos" w:cs="Aptos" w:eastAsia="Aptos"/>
          <w:color w:val="000000"/>
          <w:sz w:val="22"/>
          <w:szCs w:val="22"/>
        </w:rPr>
        <w:t>Incident response and personal data breach notification procedures</w:t>
      </w:r>
    </w:p>
    <w:p w14:paraId="5F276BA5">
      <w:pPr>
        <w:pStyle w:val="Normal"/>
        <w:numPr>
          <w:ilvl w:val="0"/>
          <w:numId w:val="14"/>
        </w:numPr>
      </w:pPr>
      <w:r>
        <w:rPr>
          <w:rFonts w:ascii="Aptos" w:hAnsi="Aptos" w:cs="Aptos" w:eastAsia="Aptos"/>
          <w:color w:val="000000"/>
          <w:sz w:val="22"/>
          <w:szCs w:val="22"/>
        </w:rPr>
        <w:t>Regular backups and business continuity / disaster recovery procedures</w:t>
      </w:r>
    </w:p>
    <w:p w14:paraId="4CFB18BD">
      <w:pPr>
        <w:pStyle w:val="Normal"/>
        <w:numPr>
          <w:ilvl w:val="0"/>
          <w:numId w:val="14"/>
        </w:numPr>
      </w:pPr>
      <w:r>
        <w:rPr>
          <w:rFonts w:ascii="Aptos" w:hAnsi="Aptos" w:cs="Aptos" w:eastAsia="Aptos"/>
          <w:color w:val="000000"/>
          <w:sz w:val="22"/>
          <w:szCs w:val="22"/>
        </w:rPr>
        <w:t>Employee training and confidentiality obligations</w:t>
      </w:r>
    </w:p>
    <w:p w14:paraId="2A0F3D40">
      <w:pPr>
        <w:pStyle w:val="Normal"/>
        <w:numPr>
          <w:ilvl w:val="0"/>
          <w:numId w:val="14"/>
        </w:numPr>
      </w:pPr>
      <w:r>
        <w:rPr>
          <w:rFonts w:ascii="Aptos" w:hAnsi="Aptos" w:cs="Aptos" w:eastAsia="Aptos"/>
          <w:color w:val="000000"/>
          <w:sz w:val="22"/>
          <w:szCs w:val="22"/>
        </w:rPr>
        <w:t>Physical security measures for server infrastructure</w:t>
      </w:r>
    </w:p>
    <w:p w14:paraId="072361C3">
      <w:pPr>
        <w:pStyle w:val="Normal"/>
        <w:numPr>
          <w:ilvl w:val="0"/>
          <w:numId w:val="14"/>
        </w:numPr>
      </w:pPr>
      <w:r>
        <w:rPr>
          <w:rFonts w:ascii="Aptos" w:hAnsi="Aptos" w:cs="Aptos" w:eastAsia="Aptos"/>
          <w:color w:val="000000"/>
          <w:sz w:val="22"/>
          <w:szCs w:val="22"/>
        </w:rPr>
        <w:t>Logging and monitoring of access to systems processing personal data</w:t>
      </w:r>
    </w:p>
    <w:p w14:paraId="64378646">
      <w:pPr>
        <w:pStyle w:val="Normal"/>
        <w:numPr>
          <w:ilvl w:val="0"/>
          <w:numId w:val="10"/>
        </w:numPr>
      </w:pPr>
      <w:r>
        <w:rPr>
          <w:b/>
          <w:rFonts w:ascii="Aptos" w:hAnsi="Aptos" w:cs="Aptos" w:eastAsia="Aptos"/>
          <w:color w:val="000000"/>
          <w:sz w:val="22"/>
          <w:szCs w:val="22"/>
        </w:rPr>
        <w:t>ANNEX D - LIST OF SUB-PROCESSORS AND INTERNATIONAL TRANSFERS</w:t>
      </w:r>
    </w:p>
    <w:tbl>
      <w:tblPr>
        <w:tblW w:w="5000" w:type="pct"/>
        <w:tblLayout/>
        <w:tblBorders>
          <w:top w:val="single" w:sz="8" w:color="000000"/>
          <w:left w:val="single" w:sz="8" w:color="000000"/>
          <w:bottom w:val="single" w:sz="8" w:color="000000"/>
          <w:right w:val="single" w:sz="8" w:color="000000"/>
          <w:insideH w:val="single" w:sz="8" w:color="000000"/>
          <w:insideV w:val="single" w:sz="8" w:color="000000"/>
        </w:tblBorders>
        <w:tblLook w:firstRow="1" w:val="04A0"/>
      </w:tblPr>
      <w:tblGrid>
        <w:gridCol w:w="2268"/>
        <w:gridCol w:w="2268"/>
        <w:gridCol w:w="2268"/>
        <w:gridCol w:w="2268"/>
      </w:tblGrid>
      <w:tr>
        <w:tc>
          <w:tcPr>
            <w:tcW w:w="2268" w:type="dxa"/>
          </w:tcPr>
          <w:p w14:paraId="7D7B3997">
            <w:r>
              <w:rPr>
                <w:rFonts w:ascii="Aptos" w:hAnsi="Aptos" w:cs="Aptos" w:eastAsia="Aptos"/>
                <w:color w:val="000000"/>
                <w:sz w:val="22"/>
                <w:szCs w:val="22"/>
              </w:rPr>
              <w:t xml:space="preserve">Sub-processor</w:t>
            </w:r>
          </w:p>
        </w:tc>
        <w:tc>
          <w:tcPr>
            <w:tcW w:w="2268" w:type="dxa"/>
          </w:tcPr>
          <w:p w14:paraId="7D7B3998">
            <w:r>
              <w:rPr>
                <w:rFonts w:ascii="Aptos" w:hAnsi="Aptos" w:cs="Aptos" w:eastAsia="Aptos"/>
                <w:color w:val="000000"/>
                <w:sz w:val="22"/>
                <w:szCs w:val="22"/>
              </w:rPr>
              <w:t xml:space="preserve">Registered office / Country</w:t>
            </w:r>
          </w:p>
        </w:tc>
        <w:tc>
          <w:tcPr>
            <w:tcW w:w="2268" w:type="dxa"/>
          </w:tcPr>
          <w:p w14:paraId="7D7B3999">
            <w:r>
              <w:rPr>
                <w:rFonts w:ascii="Aptos" w:hAnsi="Aptos" w:cs="Aptos" w:eastAsia="Aptos"/>
                <w:color w:val="000000"/>
                <w:sz w:val="22"/>
                <w:szCs w:val="22"/>
              </w:rPr>
              <w:t xml:space="preserve">Processing activity</w:t>
            </w:r>
          </w:p>
        </w:tc>
        <w:tc>
          <w:tcPr>
            <w:tcW w:w="2268" w:type="dxa"/>
          </w:tcPr>
          <w:p w14:paraId="7D7B399A">
            <w:r>
              <w:rPr>
                <w:rFonts w:ascii="Aptos" w:hAnsi="Aptos" w:cs="Aptos" w:eastAsia="Aptos"/>
                <w:color w:val="000000"/>
                <w:sz w:val="22"/>
                <w:szCs w:val="22"/>
              </w:rPr>
              <w:t xml:space="preserve">Transfer mechanism (if outside EEA)</w:t>
            </w:r>
          </w:p>
        </w:tc>
      </w:tr>
      <w:tr>
        <w:tc>
          <w:tcPr>
            <w:tcW w:w="2268" w:type="dxa"/>
          </w:tcPr>
          <w:p w14:paraId="7D7B399B">
            <w:r>
              <w:rPr>
                <w:rFonts w:ascii="Aptos" w:hAnsi="Aptos" w:cs="Aptos" w:eastAsia="Aptos"/>
                <w:color w:val="000000"/>
                <w:sz w:val="22"/>
                <w:szCs w:val="22"/>
              </w:rPr>
              <w:t xml:space="preserve">Monri Payments d.o.o.</w:t>
            </w:r>
          </w:p>
        </w:tc>
        <w:tc>
          <w:tcPr>
            <w:tcW w:w="2268" w:type="dxa"/>
          </w:tcPr>
          <w:p w14:paraId="7D7B399C">
            <w:r>
              <w:rPr>
                <w:rFonts w:ascii="Aptos" w:hAnsi="Aptos" w:cs="Aptos" w:eastAsia="Aptos"/>
                <w:color w:val="000000"/>
                <w:sz w:val="22"/>
                <w:szCs w:val="22"/>
              </w:rPr>
              <w:t xml:space="preserve">Croatia (OIB: 82551932122)</w:t>
            </w:r>
          </w:p>
        </w:tc>
        <w:tc>
          <w:tcPr>
            <w:tcW w:w="2268" w:type="dxa"/>
          </w:tcPr>
          <w:p w14:paraId="7D7B399D">
            <w:r>
              <w:rPr>
                <w:rFonts w:ascii="Aptos" w:hAnsi="Aptos" w:cs="Aptos" w:eastAsia="Aptos"/>
                <w:color w:val="000000"/>
                <w:sz w:val="22"/>
                <w:szCs w:val="22"/>
              </w:rPr>
              <w:t xml:space="preserve">Payment processing facilitation</w:t>
            </w:r>
          </w:p>
        </w:tc>
        <w:tc>
          <w:tcPr>
            <w:tcW w:w="2268" w:type="dxa"/>
          </w:tcPr>
          <w:p w14:paraId="7D7B399E">
            <w:r>
              <w:rPr>
                <w:rFonts w:ascii="Aptos" w:hAnsi="Aptos" w:cs="Aptos" w:eastAsia="Aptos"/>
                <w:color w:val="000000"/>
                <w:sz w:val="22"/>
                <w:szCs w:val="22"/>
              </w:rPr>
              <w:t xml:space="preserve">N/A (within EEA)</w:t>
            </w:r>
          </w:p>
        </w:tc>
      </w:tr>
      <w:tr>
        <w:tc>
          <w:tcPr>
            <w:tcW w:w="2268" w:type="dxa"/>
          </w:tcPr>
          <w:p w14:paraId="7D7B399B">
            <w:r>
              <w:rPr>
                <w:rFonts w:ascii="Aptos" w:hAnsi="Aptos" w:cs="Aptos" w:eastAsia="Aptos"/>
                <w:color w:val="000000"/>
                <w:sz w:val="22"/>
                <w:szCs w:val="22"/>
              </w:rPr>
              <w:t xml:space="preserve">Kupuj online d.o.o.</w:t>
            </w:r>
          </w:p>
        </w:tc>
        <w:tc>
          <w:tcPr>
            <w:tcW w:w="2268" w:type="dxa"/>
          </w:tcPr>
          <w:p w14:paraId="7D7B399C">
            <w:r>
              <w:rPr>
                <w:rFonts w:ascii="Aptos" w:hAnsi="Aptos" w:cs="Aptos" w:eastAsia="Aptos"/>
                <w:color w:val="000000"/>
                <w:sz w:val="22"/>
                <w:szCs w:val="22"/>
              </w:rPr>
              <w:t xml:space="preserve">Croatia (OIB: 60186252821)</w:t>
            </w:r>
          </w:p>
        </w:tc>
        <w:tc>
          <w:tcPr>
            <w:tcW w:w="2268" w:type="dxa"/>
          </w:tcPr>
          <w:p w14:paraId="7D7B399D">
            <w:r>
              <w:rPr>
                <w:rFonts w:ascii="Aptos" w:hAnsi="Aptos" w:cs="Aptos" w:eastAsia="Aptos"/>
                <w:color w:val="000000"/>
                <w:sz w:val="22"/>
                <w:szCs w:val="22"/>
              </w:rPr>
              <w:t xml:space="preserve">Preparation, issuing, and fiscalisation of invoices through the BillKO system (where the Fiscalisation Module is activated)</w:t>
            </w:r>
          </w:p>
        </w:tc>
        <w:tc>
          <w:tcPr>
            <w:tcW w:w="2268" w:type="dxa"/>
          </w:tcPr>
          <w:p w14:paraId="7D7B399E">
            <w:r>
              <w:rPr>
                <w:rFonts w:ascii="Aptos" w:hAnsi="Aptos" w:cs="Aptos" w:eastAsia="Aptos"/>
                <w:color w:val="000000"/>
                <w:sz w:val="22"/>
                <w:szCs w:val="22"/>
              </w:rPr>
              <w:t xml:space="preserve">N/A (within EEA)</w:t>
            </w:r>
          </w:p>
        </w:tc>
      </w:tr>
      <w:tr>
        <w:tc>
          <w:tcPr>
            <w:tcW w:w="2268" w:type="dxa"/>
          </w:tcPr>
          <w:p w14:paraId="7D7B399F">
            <w:r>
              <w:rPr>
                <w:rFonts w:ascii="Aptos" w:hAnsi="Aptos" w:cs="Aptos" w:eastAsia="Aptos"/>
                <w:color w:val="000000"/>
                <w:sz w:val="22"/>
                <w:szCs w:val="22"/>
              </w:rPr>
              <w:t xml:space="preserve">[Cloud infrastructure provider]</w:t>
            </w:r>
          </w:p>
        </w:tc>
        <w:tc>
          <w:tcPr>
            <w:tcW w:w="2268" w:type="dxa"/>
          </w:tcPr>
          <w:p w14:paraId="7D7B39A0">
            <w:r>
              <w:rPr>
                <w:rFonts w:ascii="Aptos" w:hAnsi="Aptos" w:cs="Aptos" w:eastAsia="Aptos"/>
                <w:color w:val="000000"/>
                <w:sz w:val="22"/>
                <w:szCs w:val="22"/>
              </w:rPr>
              <w:t xml:space="preserve">[●] / [●]</w:t>
            </w:r>
          </w:p>
        </w:tc>
        <w:tc>
          <w:tcPr>
            <w:tcW w:w="2268" w:type="dxa"/>
          </w:tcPr>
          <w:p w14:paraId="7D7B39A1">
            <w:r>
              <w:rPr>
                <w:rFonts w:ascii="Aptos" w:hAnsi="Aptos" w:cs="Aptos" w:eastAsia="Aptos"/>
                <w:color w:val="000000"/>
                <w:sz w:val="22"/>
                <w:szCs w:val="22"/>
              </w:rPr>
              <w:t xml:space="preserve">Hosting, storage, and infrastructure services</w:t>
            </w:r>
          </w:p>
        </w:tc>
        <w:tc>
          <w:tcPr>
            <w:tcW w:w="2268" w:type="dxa"/>
          </w:tcPr>
          <w:p w14:paraId="7D7B39A2">
            <w:r>
              <w:rPr>
                <w:rFonts w:ascii="Aptos" w:hAnsi="Aptos" w:cs="Aptos" w:eastAsia="Aptos"/>
                <w:color w:val="000000"/>
                <w:sz w:val="22"/>
                <w:szCs w:val="22"/>
              </w:rPr>
              <w:t xml:space="preserve">[●] (e.g. SCCs, adequacy decision)</w:t>
            </w:r>
          </w:p>
        </w:tc>
      </w:tr>
      <w:tr>
        <w:tc>
          <w:tcPr>
            <w:tcW w:w="2268" w:type="dxa"/>
          </w:tcPr>
          <w:p w14:paraId="7D7B39A3">
            <w:r>
              <w:rPr>
                <w:rFonts w:ascii="Aptos" w:hAnsi="Aptos" w:cs="Aptos" w:eastAsia="Aptos"/>
                <w:color w:val="000000"/>
                <w:sz w:val="22"/>
                <w:szCs w:val="22"/>
              </w:rPr>
              <w:t xml:space="preserve">[Analytics provider]</w:t>
            </w:r>
          </w:p>
        </w:tc>
        <w:tc>
          <w:tcPr>
            <w:tcW w:w="2268" w:type="dxa"/>
          </w:tcPr>
          <w:p w14:paraId="7D7B39A4">
            <w:r>
              <w:rPr>
                <w:rFonts w:ascii="Aptos" w:hAnsi="Aptos" w:cs="Aptos" w:eastAsia="Aptos"/>
                <w:color w:val="000000"/>
                <w:sz w:val="22"/>
                <w:szCs w:val="22"/>
              </w:rPr>
              <w:t xml:space="preserve">[●] / [●]</w:t>
            </w:r>
          </w:p>
        </w:tc>
        <w:tc>
          <w:tcPr>
            <w:tcW w:w="2268" w:type="dxa"/>
          </w:tcPr>
          <w:p w14:paraId="7D7B39A5">
            <w:r>
              <w:rPr>
                <w:rFonts w:ascii="Aptos" w:hAnsi="Aptos" w:cs="Aptos" w:eastAsia="Aptos"/>
                <w:color w:val="000000"/>
                <w:sz w:val="22"/>
                <w:szCs w:val="22"/>
              </w:rPr>
              <w:t xml:space="preserve">Platform analytics and performance monitoring</w:t>
            </w:r>
          </w:p>
        </w:tc>
        <w:tc>
          <w:tcPr>
            <w:tcW w:w="2268" w:type="dxa"/>
          </w:tcPr>
          <w:p w14:paraId="7D7B39A6">
            <w:r>
              <w:rPr>
                <w:rFonts w:ascii="Aptos" w:hAnsi="Aptos" w:cs="Aptos" w:eastAsia="Aptos"/>
                <w:color w:val="000000"/>
                <w:sz w:val="22"/>
                <w:szCs w:val="22"/>
              </w:rPr>
              <w:t xml:space="preserve">[●]</w:t>
            </w:r>
          </w:p>
        </w:tc>
      </w:tr>
      <w:tr>
        <w:tc>
          <w:tcPr>
            <w:tcW w:w="2268" w:type="dxa"/>
          </w:tcPr>
          <w:p w14:paraId="7D7B39A7">
            <w:r>
              <w:rPr>
                <w:rFonts w:ascii="Aptos" w:hAnsi="Aptos" w:cs="Aptos" w:eastAsia="Aptos"/>
                <w:color w:val="000000"/>
                <w:sz w:val="22"/>
                <w:szCs w:val="22"/>
              </w:rPr>
              <w:t xml:space="preserve">[E-mail / communication service provider]</w:t>
            </w:r>
          </w:p>
        </w:tc>
        <w:tc>
          <w:tcPr>
            <w:tcW w:w="2268" w:type="dxa"/>
          </w:tcPr>
          <w:p w14:paraId="7D7B39A8">
            <w:r>
              <w:rPr>
                <w:rFonts w:ascii="Aptos" w:hAnsi="Aptos" w:cs="Aptos" w:eastAsia="Aptos"/>
                <w:color w:val="000000"/>
                <w:sz w:val="22"/>
                <w:szCs w:val="22"/>
              </w:rPr>
              <w:t xml:space="preserve">[●] / [●]</w:t>
            </w:r>
          </w:p>
        </w:tc>
        <w:tc>
          <w:tcPr>
            <w:tcW w:w="2268" w:type="dxa"/>
          </w:tcPr>
          <w:p w14:paraId="7D7B39A9">
            <w:r>
              <w:rPr>
                <w:rFonts w:ascii="Aptos" w:hAnsi="Aptos" w:cs="Aptos" w:eastAsia="Aptos"/>
                <w:color w:val="000000"/>
                <w:sz w:val="22"/>
                <w:szCs w:val="22"/>
              </w:rPr>
              <w:t xml:space="preserve">Transactional e-mail delivery (booking confirmations, notifications)</w:t>
            </w:r>
          </w:p>
        </w:tc>
        <w:tc>
          <w:tcPr>
            <w:tcW w:w="2268" w:type="dxa"/>
          </w:tcPr>
          <w:p w14:paraId="7D7B39AA">
            <w:r>
              <w:rPr>
                <w:rFonts w:ascii="Aptos" w:hAnsi="Aptos" w:cs="Aptos" w:eastAsia="Aptos"/>
                <w:color w:val="000000"/>
                <w:sz w:val="22"/>
                <w:szCs w:val="22"/>
              </w:rPr>
              <w:t xml:space="preserve">[●]</w:t>
            </w:r>
          </w:p>
        </w:tc>
      </w:tr>
      <w:tr>
        <w:tc>
          <w:tcPr>
            <w:tcW w:w="2268" w:type="dxa"/>
          </w:tcPr>
          <w:p w14:paraId="7D7B39AB">
            <w:r>
              <w:rPr>
                <w:rFonts w:ascii="Aptos" w:hAnsi="Aptos" w:cs="Aptos" w:eastAsia="Aptos"/>
                <w:color w:val="000000"/>
                <w:sz w:val="22"/>
                <w:szCs w:val="22"/>
              </w:rPr>
              <w:t xml:space="preserve">[Other]</w:t>
            </w:r>
          </w:p>
        </w:tc>
        <w:tc>
          <w:tcPr>
            <w:tcW w:w="2268" w:type="dxa"/>
          </w:tcPr>
          <w:p w14:paraId="7D7B39AC">
            <w:r>
              <w:rPr>
                <w:rFonts w:ascii="Aptos" w:hAnsi="Aptos" w:cs="Aptos" w:eastAsia="Aptos"/>
                <w:color w:val="000000"/>
                <w:sz w:val="22"/>
                <w:szCs w:val="22"/>
              </w:rPr>
              <w:t xml:space="preserve">[●]</w:t>
            </w:r>
          </w:p>
        </w:tc>
        <w:tc>
          <w:tcPr>
            <w:tcW w:w="2268" w:type="dxa"/>
          </w:tcPr>
          <w:p w14:paraId="7D7B39AD">
            <w:r>
              <w:rPr>
                <w:rFonts w:ascii="Aptos" w:hAnsi="Aptos" w:cs="Aptos" w:eastAsia="Aptos"/>
                <w:color w:val="000000"/>
                <w:sz w:val="22"/>
                <w:szCs w:val="22"/>
              </w:rPr>
              <w:t xml:space="preserve">[●]</w:t>
            </w:r>
          </w:p>
        </w:tc>
        <w:tc>
          <w:tcPr>
            <w:tcW w:w="2268" w:type="dxa"/>
          </w:tcPr>
          <w:p w14:paraId="7D7B39AE">
            <w:r>
              <w:rPr>
                <w:rFonts w:ascii="Aptos" w:hAnsi="Aptos" w:cs="Aptos" w:eastAsia="Aptos"/>
                <w:color w:val="000000"/>
                <w:sz w:val="22"/>
                <w:szCs w:val="22"/>
              </w:rPr>
              <w:t xml:space="preserve">[●]</w:t>
            </w:r>
          </w:p>
        </w:tc>
      </w:tr>
    </w:tbl>
    <w:p w14:paraId="7D7B39AF"/>
    <w:p w14:paraId="4BC0F3FA">
      <w:r>
        <w:rPr>
          <w:rFonts w:ascii="Aptos" w:hAnsi="Aptos" w:cs="Aptos" w:eastAsia="Aptos"/>
          <w:color w:val="000000"/>
          <w:sz w:val="22"/>
          <w:szCs w:val="22"/>
        </w:rPr>
        <w:t>IN WITNESS WHEREOF, the duly authorised representatives of the Parties have executed this DPA as of the date first written above.</w:t>
      </w:r>
    </w:p>
    <w:p w14:paraId="2DACD51A">
      <w:pPr>
        <w:jc w:val="right"/>
      </w:pPr>
      <w:r>
        <w:rPr>
          <w:rFonts w:ascii="Aptos" w:hAnsi="Aptos" w:cs="Aptos" w:eastAsia="Aptos"/>
          <w:color w:val="000000"/>
          <w:sz w:val="22"/>
          <w:szCs w:val="22"/>
        </w:rPr>
        <w:t>UTOPIA TECHNOLOGIES d.o.o. PARTNER</w:t>
      </w:r>
    </w:p>
    <w:p w14:paraId="78A809E4">
      <w:pPr>
        <w:jc w:val="right"/>
      </w:pPr>
      <w:r>
        <w:rPr>
          <w:rFonts w:ascii="Aptos" w:hAnsi="Aptos" w:cs="Aptos" w:eastAsia="Aptos"/>
          <w:color w:val="000000"/>
          <w:sz w:val="22"/>
          <w:szCs w:val="22"/>
        </w:rPr>
        <w:t>Name: ____________________________ Name: ____________________________</w:t>
      </w:r>
    </w:p>
    <w:p w14:paraId="3C71B4A3">
      <w:pPr>
        <w:jc w:val="right"/>
      </w:pPr>
      <w:r>
        <w:rPr>
          <w:rFonts w:ascii="Aptos" w:hAnsi="Aptos" w:cs="Aptos" w:eastAsia="Aptos"/>
          <w:color w:val="000000"/>
          <w:sz w:val="22"/>
          <w:szCs w:val="22"/>
        </w:rPr>
        <w:t>Title: ____________________________ Title: ____________________________</w:t>
      </w:r>
    </w:p>
    <w:p w14:paraId="003B5F62">
      <w:pPr>
        <w:jc w:val="right"/>
      </w:pPr>
      <w:r>
        <w:rPr>
          <w:rFonts w:ascii="Aptos" w:hAnsi="Aptos" w:cs="Aptos" w:eastAsia="Aptos"/>
          <w:color w:val="000000"/>
          <w:sz w:val="22"/>
          <w:szCs w:val="22"/>
        </w:rPr>
        <w:t>Date: ____________________________ Date: ____________________________</w:t>
      </w:r>
    </w:p>
    <w:p w14:paraId="44050A21">
      <w:pPr>
        <w:jc w:val="right"/>
      </w:pPr>
      <w:r>
        <w:rPr>
          <w:rFonts w:ascii="Aptos" w:hAnsi="Aptos" w:cs="Aptos" w:eastAsia="Aptos"/>
          <w:color w:val="000000"/>
          <w:sz w:val="22"/>
          <w:szCs w:val="22"/>
        </w:rPr>
        <w:t>Signature: ________________________ Signature: ________________________</w:t>
      </w:r>
    </w:p>
    <w:sectPr>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multiLevelType w:val="hybridMultilevel"/>
    <w:lvl w:ilvl="0">
      <w:start w:val="1"/>
      <w:numFmt w:val="decimal"/>
      <w:lvlText w:val="%1."/>
      <w:lvlJc w:val="left"/>
      <w:pPr>
        <w:ind w:left="720" w:hanging="720"/>
      </w:pPr>
      <w:suff w:val="tab"/>
    </w:lvl>
    <w:lvl w:ilvl="1">
      <w:start w:val="1"/>
      <w:numFmt w:val="decimal"/>
      <w:lvlText w:val="%1.%2."/>
      <w:lvlJc w:val="left"/>
      <w:pPr>
        <w:ind w:left="720" w:hanging="720"/>
      </w:pPr>
      <w:suff w:val="tab"/>
    </w:lvl>
    <w:lvl w:ilvl="2">
      <w:start w:val="1"/>
      <w:numFmt w:val="decimal"/>
      <w:lvlText w:val="%1.%2.%3."/>
      <w:lvlJc w:val="left"/>
      <w:pPr>
        <w:ind w:left="1080" w:hanging="1080"/>
      </w:pPr>
      <w:suff w:val="tab"/>
    </w:lvl>
    <w:lvl w:ilvl="3">
      <w:start w:val="1"/>
      <w:numFmt w:val="decimal"/>
      <w:lvlText w:val="%1.%2.%3.%4."/>
      <w:lvlJc w:val="left"/>
      <w:pPr>
        <w:ind w:left="1440" w:hanging="1440"/>
      </w:pPr>
      <w:suff w:val="tab"/>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0">
    <w:multiLevelType w:val="hybridMultilevel"/>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 w:numId="11">
    <w:abstractNumId w:val="10"/>
  </w:num>
  <w:num w:numId="12">
    <w:abstractNumId w:val="10"/>
    <w:lvlOverride w:ilvl="0">
      <w:startOverride w:val="1"/>
    </w:lvlOverride>
  </w:num>
  <w:num w:numId="13">
    <w:abstractNumId w:val="10"/>
    <w:lvlOverride w:ilvl="0">
      <w:startOverride w:val="1"/>
    </w:lvlOverride>
  </w:num>
  <w:num w:numId="14">
    <w:abstractNumId w:val="1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removePersonalInformation/>
  <w:removeDateAndTim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lang w:val="en-US" w:eastAsia="en-US" w:bidi="ar-SA"/>
        <w:rFonts w:ascii="Aptos" w:hAnsi="Aptos" w:cs="Aptos" w:eastAsia="Aptos"/>
        <w:color w:val="000000"/>
        <w:sz w:val="22"/>
        <w:szCs w:val="22"/>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20"/>
      <w:jc w:val="both"/>
    </w:pPr>
    <w:rPr>
      <w:rFonts w:ascii="Aptos" w:hAnsi="Aptos" w:cs="Aptos" w:eastAsia="Aptos"/>
      <w:color w:val="000000"/>
      <w:sz w:val="22"/>
      <w:szCs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jc w:val="left"/>
      <w:outlineLvl w:val="0"/>
    </w:pPr>
    <w:rPr>
      <w:b/>
      <w:bCs/>
      <w:i w:val="0"/>
      <w:rFonts w:ascii="Aptos" w:hAnsi="Aptos" w:cs="Aptos" w:eastAsia="Aptos"/>
      <w:color w:val="000000"/>
      <w:sz w:val="22"/>
      <w:szCs w:val="22"/>
    </w:rPr>
  </w:style>
  <w:style w:type="paragraph" w:styleId="Heading2">
    <w:name w:val="heading 2"/>
    <w:basedOn w:val="Normal"/>
    <w:next w:val="Normal"/>
    <w:link w:val="Heading2Char"/>
    <w:uiPriority w:val="9"/>
    <w:unhideWhenUsed/>
    <w:qFormat/>
    <w:rsid w:val="00FC693F"/>
    <w:pPr>
      <w:keepNext/>
      <w:keepLines/>
      <w:spacing w:before="200" w:after="80"/>
      <w:jc w:val="left"/>
      <w:outlineLvl w:val="1"/>
    </w:pPr>
    <w:rPr>
      <w:b/>
      <w:bCs/>
      <w:i w:val="0"/>
      <w:rFonts w:ascii="Aptos" w:hAnsi="Aptos" w:cs="Aptos" w:eastAsia="Aptos"/>
      <w:color w:val="000000"/>
      <w:sz w:val="22"/>
      <w:szCs w:val="22"/>
    </w:rPr>
  </w:style>
  <w:style w:type="paragraph" w:styleId="Heading3">
    <w:name w:val="heading 3"/>
    <w:basedOn w:val="Normal"/>
    <w:next w:val="Normal"/>
    <w:link w:val="Heading3Char"/>
    <w:uiPriority w:val="9"/>
    <w:unhideWhenUsed/>
    <w:qFormat/>
    <w:rsid w:val="00FC693F"/>
    <w:pPr>
      <w:keepNext/>
      <w:keepLines/>
      <w:spacing w:before="160" w:after="80"/>
      <w:jc w:val="left"/>
      <w:outlineLvl w:val="2"/>
    </w:pPr>
    <w:rPr>
      <w:b/>
      <w:bCs/>
      <w:i/>
      <w:rFonts w:ascii="Aptos" w:hAnsi="Aptos" w:cs="Aptos" w:eastAsia="Aptos"/>
      <w:color w:val="000000"/>
      <w:sz w:val="22"/>
      <w:szCs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b/>
      <w:bCs/>
      <w:i/>
      <w:iCs/>
      <w:rFonts w:ascii="Aptos" w:hAnsi="Aptos" w:cs="Aptos" w:eastAsia="Aptos"/>
      <w:color w:val="000000"/>
      <w:sz w:val="22"/>
      <w:szCs w:val="22"/>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Aptos" w:hAnsi="Aptos" w:cs="Aptos" w:eastAsia="Aptos"/>
      <w:color w:val="000000"/>
      <w:sz w:val="22"/>
      <w:szCs w:val="22"/>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i/>
      <w:iCs/>
      <w:rFonts w:ascii="Aptos" w:hAnsi="Aptos" w:cs="Aptos" w:eastAsia="Aptos"/>
      <w:color w:val="000000"/>
      <w:sz w:val="22"/>
      <w:szCs w:val="22"/>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i/>
      <w:iCs/>
      <w:rFonts w:ascii="Aptos" w:hAnsi="Aptos" w:cs="Aptos" w:eastAsia="Aptos"/>
      <w:color w:val="000000"/>
      <w:sz w:val="22"/>
      <w:szCs w:val="22"/>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Aptos" w:hAnsi="Aptos" w:cs="Aptos" w:eastAsia="Aptos"/>
      <w:color w:val="000000"/>
      <w:sz w:val="22"/>
      <w:szCs w:val="22"/>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i/>
      <w:iCs/>
      <w:rFonts w:ascii="Aptos" w:hAnsi="Aptos" w:cs="Aptos" w:eastAsia="Aptos"/>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b/>
      <w:bCs/>
      <w:rFonts w:ascii="Aptos" w:hAnsi="Aptos" w:cs="Aptos" w:eastAsia="Aptos"/>
      <w:color w:val="000000"/>
      <w:sz w:val="22"/>
      <w:szCs w:val="22"/>
    </w:rPr>
  </w:style>
  <w:style w:type="character" w:customStyle="1" w:styleId="Heading2Char">
    <w:name w:val="Heading 2 Char"/>
    <w:basedOn w:val="DefaultParagraphFont"/>
    <w:link w:val="Heading2"/>
    <w:uiPriority w:val="9"/>
    <w:rsid w:val="00FC693F"/>
    <w:rPr>
      <w:b/>
      <w:bCs/>
      <w:rFonts w:ascii="Aptos" w:hAnsi="Aptos" w:cs="Aptos" w:eastAsia="Aptos"/>
      <w:color w:val="000000"/>
      <w:sz w:val="22"/>
      <w:szCs w:val="22"/>
    </w:rPr>
  </w:style>
  <w:style w:type="character" w:customStyle="1" w:styleId="Heading3Char">
    <w:name w:val="Heading 3 Char"/>
    <w:basedOn w:val="DefaultParagraphFont"/>
    <w:link w:val="Heading3"/>
    <w:uiPriority w:val="9"/>
    <w:rsid w:val="00FC693F"/>
    <w:rPr>
      <w:b/>
      <w:bCs/>
      <w:rFonts w:ascii="Aptos" w:hAnsi="Aptos" w:cs="Aptos" w:eastAsia="Aptos"/>
      <w:color w:val="000000"/>
      <w:sz w:val="22"/>
      <w:szCs w:val="22"/>
    </w:rPr>
  </w:style>
  <w:style w:type="paragraph" w:styleId="Title">
    <w:name w:val="Title"/>
    <w:basedOn w:val="Normal"/>
    <w:next w:val="Normal"/>
    <w:link w:val="TitleChar"/>
    <w:uiPriority w:val="10"/>
    <w:qFormat/>
    <w:rsid w:val="00FC693F"/>
    <w:pPr>
      <w:spacing w:after="240" w:line="240" w:lineRule="auto"/>
      <w:contextualSpacing/>
      <w:jc w:val="center"/>
    </w:pPr>
    <w:rPr>
      <w:b/>
      <w:caps/>
      <w:rFonts w:ascii="Aptos" w:hAnsi="Aptos" w:cs="Aptos" w:eastAsia="Aptos"/>
      <w:color w:val="000000"/>
      <w:sz w:val="22"/>
      <w:szCs w:val="22"/>
    </w:rPr>
  </w:style>
  <w:style w:type="character" w:customStyle="1" w:styleId="TitleChar">
    <w:name w:val="Title Char"/>
    <w:basedOn w:val="DefaultParagraphFont"/>
    <w:link w:val="Title"/>
    <w:uiPriority w:val="10"/>
    <w:rsid w:val="00FC693F"/>
    <w:rPr>
      <w:rFonts w:ascii="Aptos" w:hAnsi="Aptos" w:cs="Aptos" w:eastAsia="Aptos"/>
      <w:color w:val="000000"/>
      <w:sz w:val="22"/>
      <w:szCs w:val="22"/>
    </w:rPr>
  </w:style>
  <w:style w:type="paragraph" w:styleId="Subtitle">
    <w:name w:val="Subtitle"/>
    <w:basedOn w:val="Normal"/>
    <w:next w:val="Normal"/>
    <w:link w:val="SubtitleChar"/>
    <w:uiPriority w:val="11"/>
    <w:qFormat/>
    <w:rsid w:val="00FC693F"/>
    <w:pPr>
      <w:numPr>
        <w:ilvl w:val="1"/>
      </w:numPr>
    </w:pPr>
    <w:rPr>
      <w:i/>
      <w:iCs/>
      <w:rFonts w:ascii="Aptos" w:hAnsi="Aptos" w:cs="Aptos" w:eastAsia="Aptos"/>
      <w:color w:val="000000"/>
      <w:sz w:val="22"/>
      <w:szCs w:val="22"/>
    </w:rPr>
  </w:style>
  <w:style w:type="character" w:customStyle="1" w:styleId="SubtitleChar">
    <w:name w:val="Subtitle Char"/>
    <w:basedOn w:val="DefaultParagraphFont"/>
    <w:link w:val="Subtitle"/>
    <w:uiPriority w:val="11"/>
    <w:rsid w:val="00FC693F"/>
    <w:rPr>
      <w:i/>
      <w:iCs/>
      <w:rFonts w:ascii="Aptos" w:hAnsi="Aptos" w:cs="Aptos" w:eastAsia="Aptos"/>
      <w:color w:val="000000"/>
      <w:sz w:val="22"/>
      <w:szCs w:val="22"/>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rFonts w:ascii="Aptos" w:hAnsi="Aptos" w:cs="Aptos" w:eastAsia="Aptos"/>
      <w:color w:val="000000"/>
      <w:sz w:val="22"/>
      <w:szCs w:val="22"/>
    </w:rPr>
  </w:style>
  <w:style w:type="character" w:customStyle="1" w:styleId="BodyText3Char">
    <w:name w:val="Body Text 3 Char"/>
    <w:basedOn w:val="DefaultParagraphFont"/>
    <w:link w:val="BodyText3"/>
    <w:uiPriority w:val="99"/>
    <w:rsid w:val="00AA1D8D"/>
    <w:rPr>
      <w:rFonts w:ascii="Aptos" w:hAnsi="Aptos" w:cs="Aptos" w:eastAsia="Aptos"/>
      <w:color w:val="000000"/>
      <w:sz w:val="22"/>
      <w:szCs w:val="22"/>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ptos" w:hAnsi="Aptos" w:cs="Aptos" w:eastAsia="Aptos"/>
      <w:color w:val="000000"/>
      <w:sz w:val="22"/>
      <w:szCs w:val="22"/>
    </w:rPr>
  </w:style>
  <w:style w:type="character" w:customStyle="1" w:styleId="MacroTextChar">
    <w:name w:val="Macro Text Char"/>
    <w:basedOn w:val="DefaultParagraphFont"/>
    <w:link w:val="MacroText"/>
    <w:uiPriority w:val="99"/>
    <w:rsid w:val="0029639D"/>
    <w:rPr>
      <w:rFonts w:ascii="Aptos" w:hAnsi="Aptos" w:cs="Aptos" w:eastAsia="Aptos"/>
      <w:color w:val="000000"/>
      <w:sz w:val="22"/>
      <w:szCs w:val="22"/>
    </w:rPr>
  </w:style>
  <w:style w:type="paragraph" w:styleId="Quote">
    <w:name w:val="Quote"/>
    <w:basedOn w:val="Normal"/>
    <w:next w:val="Normal"/>
    <w:link w:val="QuoteChar"/>
    <w:uiPriority w:val="29"/>
    <w:qFormat/>
    <w:rsid w:val="00FC693F"/>
    <w:rPr>
      <w:i/>
      <w:iCs/>
      <w:rFonts w:ascii="Aptos" w:hAnsi="Aptos" w:cs="Aptos" w:eastAsia="Aptos"/>
      <w:color w:val="000000"/>
      <w:sz w:val="22"/>
      <w:szCs w:val="22"/>
    </w:rPr>
  </w:style>
  <w:style w:type="character" w:customStyle="1" w:styleId="QuoteChar">
    <w:name w:val="Quote Char"/>
    <w:basedOn w:val="DefaultParagraphFont"/>
    <w:link w:val="Quote"/>
    <w:uiPriority w:val="29"/>
    <w:rsid w:val="00FC693F"/>
    <w:rPr>
      <w:i/>
      <w:iCs/>
      <w:rFonts w:ascii="Aptos" w:hAnsi="Aptos" w:cs="Aptos" w:eastAsia="Aptos"/>
      <w:color w:val="000000"/>
      <w:sz w:val="22"/>
      <w:szCs w:val="22"/>
    </w:rPr>
  </w:style>
  <w:style w:type="character" w:customStyle="1" w:styleId="Heading4Char">
    <w:name w:val="Heading 4 Char"/>
    <w:basedOn w:val="DefaultParagraphFont"/>
    <w:link w:val="Heading4"/>
    <w:uiPriority w:val="9"/>
    <w:semiHidden/>
    <w:rsid w:val="00FC693F"/>
    <w:rPr>
      <w:b/>
      <w:bCs/>
      <w:i/>
      <w:iCs/>
      <w:rFonts w:ascii="Aptos" w:hAnsi="Aptos" w:cs="Aptos" w:eastAsia="Aptos"/>
      <w:color w:val="000000"/>
      <w:sz w:val="22"/>
      <w:szCs w:val="22"/>
    </w:rPr>
  </w:style>
  <w:style w:type="character" w:customStyle="1" w:styleId="Heading5Char">
    <w:name w:val="Heading 5 Char"/>
    <w:basedOn w:val="DefaultParagraphFont"/>
    <w:link w:val="Heading5"/>
    <w:uiPriority w:val="9"/>
    <w:semiHidden/>
    <w:rsid w:val="00FC693F"/>
    <w:rPr>
      <w:rFonts w:ascii="Aptos" w:hAnsi="Aptos" w:cs="Aptos" w:eastAsia="Aptos"/>
      <w:color w:val="000000"/>
      <w:sz w:val="22"/>
      <w:szCs w:val="22"/>
    </w:rPr>
  </w:style>
  <w:style w:type="character" w:customStyle="1" w:styleId="Heading6Char">
    <w:name w:val="Heading 6 Char"/>
    <w:basedOn w:val="DefaultParagraphFont"/>
    <w:link w:val="Heading6"/>
    <w:uiPriority w:val="9"/>
    <w:semiHidden/>
    <w:rsid w:val="00FC693F"/>
    <w:rPr>
      <w:i/>
      <w:iCs/>
      <w:rFonts w:ascii="Aptos" w:hAnsi="Aptos" w:cs="Aptos" w:eastAsia="Aptos"/>
      <w:color w:val="000000"/>
      <w:sz w:val="22"/>
      <w:szCs w:val="22"/>
    </w:rPr>
  </w:style>
  <w:style w:type="character" w:customStyle="1" w:styleId="Heading7Char">
    <w:name w:val="Heading 7 Char"/>
    <w:basedOn w:val="DefaultParagraphFont"/>
    <w:link w:val="Heading7"/>
    <w:uiPriority w:val="9"/>
    <w:semiHidden/>
    <w:rsid w:val="00FC693F"/>
    <w:rPr>
      <w:i/>
      <w:iCs/>
      <w:rFonts w:ascii="Aptos" w:hAnsi="Aptos" w:cs="Aptos" w:eastAsia="Aptos"/>
      <w:color w:val="000000"/>
      <w:sz w:val="22"/>
      <w:szCs w:val="22"/>
    </w:rPr>
  </w:style>
  <w:style w:type="character" w:customStyle="1" w:styleId="Heading8Char">
    <w:name w:val="Heading 8 Char"/>
    <w:basedOn w:val="DefaultParagraphFont"/>
    <w:link w:val="Heading8"/>
    <w:uiPriority w:val="9"/>
    <w:semiHidden/>
    <w:rsid w:val="00FC693F"/>
    <w:rPr>
      <w:rFonts w:ascii="Aptos" w:hAnsi="Aptos" w:cs="Aptos" w:eastAsia="Aptos"/>
      <w:color w:val="000000"/>
      <w:sz w:val="22"/>
      <w:szCs w:val="22"/>
    </w:rPr>
  </w:style>
  <w:style w:type="character" w:customStyle="1" w:styleId="Heading9Char">
    <w:name w:val="Heading 9 Char"/>
    <w:basedOn w:val="DefaultParagraphFont"/>
    <w:link w:val="Heading9"/>
    <w:uiPriority w:val="9"/>
    <w:semiHidden/>
    <w:rsid w:val="00FC693F"/>
    <w:rPr>
      <w:i/>
      <w:iCs/>
      <w:rFonts w:ascii="Aptos" w:hAnsi="Aptos" w:cs="Aptos" w:eastAsia="Aptos"/>
      <w:color w:val="000000"/>
      <w:sz w:val="22"/>
      <w:szCs w:val="22"/>
    </w:rPr>
  </w:style>
  <w:style w:type="paragraph" w:styleId="Caption">
    <w:name w:val="caption"/>
    <w:basedOn w:val="Normal"/>
    <w:next w:val="Normal"/>
    <w:uiPriority w:val="35"/>
    <w:semiHidden/>
    <w:unhideWhenUsed/>
    <w:qFormat/>
    <w:rsid w:val="00FC693F"/>
    <w:pPr>
      <w:spacing w:line="240" w:lineRule="auto"/>
    </w:pPr>
    <w:rPr>
      <w:b/>
      <w:bCs/>
      <w:rFonts w:ascii="Aptos" w:hAnsi="Aptos" w:cs="Aptos" w:eastAsia="Aptos"/>
      <w:color w:val="000000"/>
      <w:sz w:val="22"/>
      <w:szCs w:val="22"/>
    </w:rPr>
  </w:style>
  <w:style w:type="character" w:styleId="Strong">
    <w:name w:val="Strong"/>
    <w:basedOn w:val="DefaultParagraphFont"/>
    <w:uiPriority w:val="22"/>
    <w:qFormat/>
    <w:rsid w:val="00FC693F"/>
    <w:rPr>
      <w:b/>
      <w:bCs/>
      <w:rFonts w:ascii="Aptos" w:hAnsi="Aptos" w:cs="Aptos" w:eastAsia="Aptos"/>
      <w:color w:val="000000"/>
      <w:sz w:val="22"/>
      <w:szCs w:val="22"/>
    </w:rPr>
  </w:style>
  <w:style w:type="character" w:styleId="Emphasis">
    <w:name w:val="Emphasis"/>
    <w:basedOn w:val="DefaultParagraphFont"/>
    <w:uiPriority w:val="20"/>
    <w:qFormat/>
    <w:rsid w:val="00FC693F"/>
    <w:rPr>
      <w:i/>
      <w:iCs/>
      <w:rFonts w:ascii="Aptos" w:hAnsi="Aptos" w:cs="Aptos" w:eastAsia="Aptos"/>
      <w:color w:val="000000"/>
      <w:sz w:val="22"/>
      <w:szCs w:val="22"/>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rFonts w:ascii="Aptos" w:hAnsi="Aptos" w:cs="Aptos" w:eastAsia="Aptos"/>
      <w:color w:val="000000"/>
      <w:sz w:val="22"/>
      <w:szCs w:val="22"/>
    </w:rPr>
  </w:style>
  <w:style w:type="character" w:customStyle="1" w:styleId="IntenseQuoteChar">
    <w:name w:val="Intense Quote Char"/>
    <w:basedOn w:val="DefaultParagraphFont"/>
    <w:link w:val="IntenseQuote"/>
    <w:uiPriority w:val="30"/>
    <w:rsid w:val="00FC693F"/>
    <w:rPr>
      <w:b/>
      <w:bCs/>
      <w:i/>
      <w:iCs/>
      <w:rFonts w:ascii="Aptos" w:hAnsi="Aptos" w:cs="Aptos" w:eastAsia="Aptos"/>
      <w:color w:val="000000"/>
      <w:sz w:val="22"/>
      <w:szCs w:val="22"/>
    </w:rPr>
  </w:style>
  <w:style w:type="character" w:styleId="SubtleEmphasis">
    <w:name w:val="Subtle Emphasis"/>
    <w:basedOn w:val="DefaultParagraphFont"/>
    <w:uiPriority w:val="19"/>
    <w:qFormat/>
    <w:rsid w:val="00FC693F"/>
    <w:rPr>
      <w:i/>
      <w:iCs/>
      <w:rFonts w:ascii="Aptos" w:hAnsi="Aptos" w:cs="Aptos" w:eastAsia="Aptos"/>
      <w:color w:val="000000"/>
      <w:sz w:val="22"/>
      <w:szCs w:val="22"/>
    </w:rPr>
  </w:style>
  <w:style w:type="character" w:styleId="IntenseEmphasis">
    <w:name w:val="Intense Emphasis"/>
    <w:basedOn w:val="DefaultParagraphFont"/>
    <w:uiPriority w:val="21"/>
    <w:qFormat/>
    <w:rsid w:val="00FC693F"/>
    <w:rPr>
      <w:b/>
      <w:bCs/>
      <w:i/>
      <w:iCs/>
      <w:rFonts w:ascii="Aptos" w:hAnsi="Aptos" w:cs="Aptos" w:eastAsia="Aptos"/>
      <w:color w:val="000000"/>
      <w:sz w:val="22"/>
      <w:szCs w:val="22"/>
    </w:rPr>
  </w:style>
  <w:style w:type="character" w:styleId="SubtleReference">
    <w:name w:val="Subtle Reference"/>
    <w:basedOn w:val="DefaultParagraphFont"/>
    <w:uiPriority w:val="31"/>
    <w:qFormat/>
    <w:rsid w:val="00FC693F"/>
    <w:rPr>
      <w:smallCaps/>
      <w:rFonts w:ascii="Aptos" w:hAnsi="Aptos" w:cs="Aptos" w:eastAsia="Aptos"/>
      <w:color w:val="000000"/>
      <w:sz w:val="22"/>
      <w:szCs w:val="22"/>
    </w:rPr>
  </w:style>
  <w:style w:type="character" w:styleId="IntenseReference">
    <w:name w:val="Intense Reference"/>
    <w:basedOn w:val="DefaultParagraphFont"/>
    <w:uiPriority w:val="32"/>
    <w:qFormat/>
    <w:rsid w:val="00FC693F"/>
    <w:rPr>
      <w:b/>
      <w:bCs/>
      <w:smallCaps/>
      <w:rFonts w:ascii="Aptos" w:hAnsi="Aptos" w:cs="Aptos" w:eastAsia="Aptos"/>
      <w:color w:val="000000"/>
      <w:sz w:val="22"/>
      <w:szCs w:val="22"/>
    </w:rPr>
  </w:style>
  <w:style w:type="character" w:styleId="BookTitle">
    <w:name w:val="Book Title"/>
    <w:basedOn w:val="DefaultParagraphFont"/>
    <w:uiPriority w:val="33"/>
    <w:qFormat/>
    <w:rsid w:val="00FC693F"/>
    <w:rPr>
      <w:b/>
      <w:bCs/>
      <w:smallCaps/>
      <w:rFonts w:ascii="Aptos" w:hAnsi="Aptos" w:cs="Aptos" w:eastAsia="Aptos"/>
      <w:color w:val="000000"/>
      <w:sz w:val="22"/>
      <w:szCs w:val="22"/>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Aptos" w:hAnsi="Aptos" w:cs="Aptos" w:eastAsia="Aptos"/>
      <w:color w:val="000000"/>
      <w:sz w:val="22"/>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Aptos" w:hAnsi="Aptos" w:cs="Aptos" w:eastAsia="Aptos"/>
      <w:color w:val="000000"/>
      <w:sz w:val="22"/>
      <w:szCs w:val="22"/>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Aptos" w:hAnsi="Aptos" w:cs="Aptos" w:eastAsia="Aptos"/>
      <w:color w:val="000000"/>
      <w:sz w:val="22"/>
      <w:szCs w:val="22"/>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Aptos" w:hAnsi="Aptos" w:cs="Aptos" w:eastAsia="Aptos"/>
      <w:color w:val="000000"/>
      <w:sz w:val="22"/>
      <w:szCs w:val="22"/>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Aptos" w:hAnsi="Aptos" w:cs="Aptos" w:eastAsia="Aptos"/>
      <w:color w:val="000000"/>
      <w:sz w:val="22"/>
      <w:szCs w:val="22"/>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Aptos" w:hAnsi="Aptos" w:cs="Aptos" w:eastAsia="Aptos"/>
      <w:color w:val="000000"/>
      <w:sz w:val="22"/>
      <w:szCs w:val="22"/>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Aptos" w:hAnsi="Aptos" w:cs="Aptos" w:eastAsia="Aptos"/>
      <w:color w:val="000000"/>
      <w:sz w:val="22"/>
      <w:szCs w:val="22"/>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Aptos" w:hAnsi="Aptos" w:cs="Aptos" w:eastAsia="Aptos"/>
      <w:color w:val="000000"/>
      <w:sz w:val="22"/>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Aptos" w:hAnsi="Aptos" w:cs="Aptos" w:eastAsia="Aptos"/>
      <w:color w:val="000000"/>
      <w:sz w:val="22"/>
      <w:szCs w:val="22"/>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Aptos" w:hAnsi="Aptos" w:cs="Aptos" w:eastAsia="Aptos"/>
      <w:color w:val="000000"/>
      <w:sz w:val="22"/>
      <w:szCs w:val="22"/>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Aptos" w:hAnsi="Aptos" w:cs="Aptos" w:eastAsia="Aptos"/>
      <w:color w:val="000000"/>
      <w:sz w:val="22"/>
      <w:szCs w:val="22"/>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Aptos" w:hAnsi="Aptos" w:cs="Aptos" w:eastAsia="Aptos"/>
      <w:color w:val="000000"/>
      <w:sz w:val="22"/>
      <w:szCs w:val="22"/>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Aptos" w:hAnsi="Aptos" w:cs="Aptos" w:eastAsia="Aptos"/>
      <w:color w:val="000000"/>
      <w:sz w:val="22"/>
      <w:szCs w:val="22"/>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Aptos" w:hAnsi="Aptos" w:cs="Aptos" w:eastAsia="Aptos"/>
      <w:color w:val="000000"/>
      <w:sz w:val="22"/>
      <w:szCs w:val="22"/>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Aptos" w:hAnsi="Aptos" w:cs="Aptos" w:eastAsia="Aptos"/>
      <w:color w:val="000000"/>
      <w:sz w:val="22"/>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Aptos" w:hAnsi="Aptos" w:cs="Aptos" w:eastAsia="Aptos"/>
      <w:color w:val="000000"/>
      <w:sz w:val="22"/>
      <w:szCs w:val="22"/>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Aptos" w:hAnsi="Aptos" w:cs="Aptos" w:eastAsia="Aptos"/>
      <w:color w:val="000000"/>
      <w:sz w:val="22"/>
      <w:szCs w:val="22"/>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Aptos" w:hAnsi="Aptos" w:cs="Aptos" w:eastAsia="Aptos"/>
      <w:color w:val="000000"/>
      <w:sz w:val="22"/>
      <w:szCs w:val="22"/>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Aptos" w:hAnsi="Aptos" w:cs="Aptos" w:eastAsia="Aptos"/>
      <w:color w:val="000000"/>
      <w:sz w:val="22"/>
      <w:szCs w:val="22"/>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Aptos" w:hAnsi="Aptos" w:cs="Aptos" w:eastAsia="Aptos"/>
      <w:color w:val="000000"/>
      <w:sz w:val="22"/>
      <w:szCs w:val="22"/>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Aptos" w:hAnsi="Aptos" w:cs="Aptos" w:eastAsia="Aptos"/>
      <w:color w:val="000000"/>
      <w:sz w:val="22"/>
      <w:szCs w:val="22"/>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Aptos" w:hAnsi="Aptos" w:cs="Aptos" w:eastAsia="Aptos"/>
      <w:color w:val="000000"/>
      <w:sz w:val="22"/>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Aptos" w:hAnsi="Aptos" w:cs="Aptos" w:eastAsia="Aptos"/>
      <w:color w:val="000000"/>
      <w:sz w:val="22"/>
      <w:szCs w:val="22"/>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Aptos" w:hAnsi="Aptos" w:cs="Aptos" w:eastAsia="Aptos"/>
      <w:color w:val="000000"/>
      <w:sz w:val="22"/>
      <w:szCs w:val="22"/>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Aptos" w:hAnsi="Aptos" w:cs="Aptos" w:eastAsia="Aptos"/>
      <w:color w:val="000000"/>
      <w:sz w:val="22"/>
      <w:szCs w:val="22"/>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Aptos" w:hAnsi="Aptos" w:cs="Aptos" w:eastAsia="Aptos"/>
      <w:color w:val="000000"/>
      <w:sz w:val="22"/>
      <w:szCs w:val="22"/>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Aptos" w:hAnsi="Aptos" w:cs="Aptos" w:eastAsia="Aptos"/>
      <w:color w:val="000000"/>
      <w:sz w:val="22"/>
      <w:szCs w:val="22"/>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Aptos" w:hAnsi="Aptos" w:cs="Aptos" w:eastAsia="Aptos"/>
      <w:color w:val="000000"/>
      <w:sz w:val="22"/>
      <w:szCs w:val="22"/>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Aptos" w:hAnsi="Aptos" w:cs="Aptos" w:eastAsia="Aptos"/>
      <w:color w:val="000000"/>
      <w:sz w:val="22"/>
      <w:szCs w:val="22"/>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Aptos" w:hAnsi="Aptos" w:cs="Aptos" w:eastAsia="Aptos"/>
      <w:color w:val="000000"/>
      <w:sz w:val="22"/>
      <w:szCs w:val="22"/>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Aptos" w:hAnsi="Aptos" w:cs="Aptos" w:eastAsia="Aptos"/>
      <w:color w:val="000000"/>
      <w:sz w:val="22"/>
      <w:szCs w:val="22"/>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Aptos" w:hAnsi="Aptos" w:cs="Aptos" w:eastAsia="Aptos"/>
      <w:color w:val="000000"/>
      <w:sz w:val="22"/>
      <w:szCs w:val="22"/>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Aptos" w:hAnsi="Aptos" w:cs="Aptos" w:eastAsia="Aptos"/>
      <w:color w:val="000000"/>
      <w:sz w:val="22"/>
      <w:szCs w:val="22"/>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Aptos" w:hAnsi="Aptos" w:cs="Aptos" w:eastAsia="Aptos"/>
      <w:color w:val="000000"/>
      <w:sz w:val="22"/>
      <w:szCs w:val="22"/>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Aptos" w:hAnsi="Aptos" w:cs="Aptos" w:eastAsia="Aptos"/>
      <w:color w:val="000000"/>
      <w:sz w:val="22"/>
      <w:szCs w:val="22"/>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Aptos" w:hAnsi="Aptos" w:cs="Aptos" w:eastAsia="Aptos"/>
      <w:color w:val="000000"/>
      <w:sz w:val="22"/>
      <w:szCs w:val="22"/>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Aptos" w:hAnsi="Aptos" w:cs="Aptos" w:eastAsia="Aptos"/>
      <w:color w:val="000000"/>
      <w:sz w:val="22"/>
      <w:szCs w:val="22"/>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Aptos" w:hAnsi="Aptos" w:cs="Aptos" w:eastAsia="Aptos"/>
      <w:color w:val="000000"/>
      <w:sz w:val="22"/>
      <w:szCs w:val="22"/>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Aptos" w:hAnsi="Aptos" w:cs="Aptos" w:eastAsia="Aptos"/>
      <w:color w:val="000000"/>
      <w:sz w:val="22"/>
      <w:szCs w:val="22"/>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Aptos" w:hAnsi="Aptos" w:cs="Aptos" w:eastAsia="Aptos"/>
      <w:color w:val="000000"/>
      <w:sz w:val="22"/>
      <w:szCs w:val="22"/>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Aptos" w:hAnsi="Aptos" w:cs="Aptos" w:eastAsia="Aptos"/>
      <w:color w:val="000000"/>
      <w:sz w:val="22"/>
      <w:szCs w:val="22"/>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Aptos" w:hAnsi="Aptos" w:cs="Aptos" w:eastAsia="Aptos"/>
      <w:color w:val="000000"/>
      <w:sz w:val="22"/>
      <w:szCs w:val="22"/>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Aptos" w:hAnsi="Aptos" w:cs="Aptos" w:eastAsia="Aptos"/>
      <w:color w:val="000000"/>
      <w:sz w:val="22"/>
      <w:szCs w:val="22"/>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Aptos" w:hAnsi="Aptos" w:cs="Aptos" w:eastAsia="Aptos"/>
      <w:color w:val="000000"/>
      <w:sz w:val="22"/>
      <w:szCs w:val="22"/>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Aptos" w:hAnsi="Aptos" w:cs="Aptos" w:eastAsia="Aptos"/>
      <w:color w:val="000000"/>
      <w:sz w:val="22"/>
      <w:szCs w:val="22"/>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Aptos" w:hAnsi="Aptos" w:cs="Aptos" w:eastAsia="Aptos"/>
      <w:color w:val="000000"/>
      <w:sz w:val="22"/>
      <w:szCs w:val="22"/>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Aptos" w:hAnsi="Aptos" w:cs="Aptos" w:eastAsia="Aptos"/>
      <w:color w:val="000000"/>
      <w:sz w:val="22"/>
      <w:szCs w:val="22"/>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Aptos" w:hAnsi="Aptos" w:cs="Aptos" w:eastAsia="Aptos"/>
      <w:color w:val="000000"/>
      <w:sz w:val="22"/>
      <w:szCs w:val="22"/>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Aptos" w:hAnsi="Aptos" w:cs="Aptos" w:eastAsia="Aptos"/>
      <w:color w:val="000000"/>
      <w:sz w:val="22"/>
      <w:szCs w:val="22"/>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Aptos" w:hAnsi="Aptos" w:cs="Aptos" w:eastAsia="Aptos"/>
      <w:color w:val="000000"/>
      <w:sz w:val="22"/>
      <w:szCs w:val="22"/>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Aptos" w:hAnsi="Aptos" w:cs="Aptos" w:eastAsia="Aptos"/>
      <w:color w:val="000000"/>
      <w:sz w:val="22"/>
      <w:szCs w:val="22"/>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Aptos" w:hAnsi="Aptos" w:cs="Aptos" w:eastAsia="Aptos"/>
      <w:color w:val="000000"/>
      <w:sz w:val="22"/>
      <w:szCs w:val="22"/>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Aptos" w:hAnsi="Aptos" w:cs="Aptos" w:eastAsia="Aptos"/>
      <w:color w:val="000000"/>
      <w:sz w:val="22"/>
      <w:szCs w:val="22"/>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Aptos" w:hAnsi="Aptos" w:cs="Aptos" w:eastAsia="Aptos"/>
      <w:color w:val="000000"/>
      <w:sz w:val="22"/>
      <w:szCs w:val="22"/>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Aptos" w:hAnsi="Aptos" w:cs="Aptos" w:eastAsia="Aptos"/>
      <w:color w:val="000000"/>
      <w:sz w:val="22"/>
      <w:szCs w:val="22"/>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Aptos" w:hAnsi="Aptos" w:cs="Aptos" w:eastAsia="Aptos"/>
      <w:color w:val="000000"/>
      <w:sz w:val="22"/>
      <w:szCs w:val="22"/>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ptos"/>
        <a:ea typeface="Aptos"/>
        <a:cs typeface="Aptos"/>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Aptos"/>
        <a:cs typeface="Aptos"/>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Application>Microsoft Office Word</Application>
  <DocSecurity>0</DocSecurity>
  <ScaleCrop>false</ScaleCrop>
  <Company/>
  <LinksUpToDate>false</LinksUpToDate>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PLEIS Data Processing Agreement</dc:title>
  <dc:subject/>
  <dc:creator>Martin Hren</dc:creator>
  <cp:keywords/>
  <dc:description/>
  <cp:lastModifiedBy>Martin Hren</cp:lastModifiedBy>
  <cp:revision>1</cp:revision>
  <dcterms:created xsi:type="dcterms:W3CDTF">2026-09-16T10:12:00Z</dcterms:created>
  <dcterms:modified xsi:type="dcterms:W3CDTF">2026-09-16T10:12:00Z</dcterms:modified>
</cp:coreProperties>
</file>